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FA2CB3" w14:textId="77777777" w:rsidR="00D95CAA" w:rsidRPr="004F69B7" w:rsidRDefault="004F69B7" w:rsidP="004F69B7">
      <w:pPr>
        <w:tabs>
          <w:tab w:val="left" w:pos="2233"/>
          <w:tab w:val="right" w:pos="9072"/>
        </w:tabs>
        <w:spacing w:after="600"/>
        <w:rPr>
          <w:rFonts w:ascii="Arial" w:hAnsi="Arial" w:cs="Arial"/>
          <w:b/>
          <w:sz w:val="22"/>
          <w:szCs w:val="22"/>
        </w:rPr>
      </w:pPr>
      <w:bookmarkStart w:id="0" w:name="_GoBack"/>
      <w:bookmarkEnd w:id="0"/>
      <w:r w:rsidRPr="004F69B7">
        <w:rPr>
          <w:rFonts w:ascii="Arial" w:hAnsi="Arial" w:cs="Arial"/>
          <w:b/>
          <w:bCs/>
          <w:sz w:val="22"/>
          <w:szCs w:val="22"/>
        </w:rPr>
        <w:tab/>
      </w:r>
      <w:r w:rsidRPr="004F69B7">
        <w:rPr>
          <w:rFonts w:ascii="Arial" w:hAnsi="Arial" w:cs="Arial"/>
          <w:b/>
          <w:bCs/>
          <w:sz w:val="22"/>
          <w:szCs w:val="22"/>
        </w:rPr>
        <w:tab/>
      </w:r>
      <w:r w:rsidR="00C126A0" w:rsidRPr="004F69B7">
        <w:rPr>
          <w:rFonts w:ascii="Arial" w:hAnsi="Arial" w:cs="Arial"/>
          <w:b/>
          <w:bCs/>
          <w:sz w:val="22"/>
          <w:szCs w:val="22"/>
        </w:rPr>
        <w:t>III.</w:t>
      </w:r>
    </w:p>
    <w:p w14:paraId="5691A9EA" w14:textId="77777777" w:rsidR="005314FE" w:rsidRPr="00F41152" w:rsidRDefault="005314FE" w:rsidP="005314FE">
      <w:pPr>
        <w:jc w:val="center"/>
        <w:rPr>
          <w:rFonts w:ascii="Arial" w:hAnsi="Arial" w:cs="Arial"/>
          <w:b/>
          <w:sz w:val="22"/>
          <w:szCs w:val="22"/>
        </w:rPr>
      </w:pPr>
      <w:r w:rsidRPr="00F41152">
        <w:rPr>
          <w:rFonts w:ascii="Arial" w:hAnsi="Arial" w:cs="Arial"/>
          <w:b/>
          <w:sz w:val="22"/>
          <w:szCs w:val="22"/>
        </w:rPr>
        <w:t>Stanovisko Ministerstva financí</w:t>
      </w:r>
      <w:r>
        <w:rPr>
          <w:rFonts w:ascii="Arial" w:hAnsi="Arial" w:cs="Arial"/>
          <w:b/>
          <w:sz w:val="22"/>
          <w:szCs w:val="22"/>
        </w:rPr>
        <w:t xml:space="preserve"> ČR</w:t>
      </w:r>
      <w:r w:rsidRPr="00F41152">
        <w:rPr>
          <w:rFonts w:ascii="Arial" w:hAnsi="Arial" w:cs="Arial"/>
          <w:b/>
          <w:sz w:val="22"/>
          <w:szCs w:val="22"/>
        </w:rPr>
        <w:t xml:space="preserve"> a Generálního ředitelství cel ke Kontrolnímu závěru Nejvyššího kontrolního úřadu z kontrolní akce č. 14/28 „Správa spotřebních daní z lihu a tabáku a příjmů z prodeje kontrolních pásek a tabákových nálepek, včetně hospodaření s těmito ceninami“ (dále jen</w:t>
      </w:r>
      <w:r w:rsidRPr="00F41152">
        <w:rPr>
          <w:rFonts w:ascii="Arial" w:hAnsi="Arial" w:cs="Arial"/>
          <w:b/>
          <w:noProof/>
          <w:sz w:val="22"/>
          <w:szCs w:val="22"/>
        </w:rPr>
        <w:t xml:space="preserve"> „Stanovisko“)</w:t>
      </w:r>
    </w:p>
    <w:p w14:paraId="2D305C83" w14:textId="77777777" w:rsidR="005314FE" w:rsidRPr="00F41152" w:rsidRDefault="005314FE" w:rsidP="005314FE">
      <w:pPr>
        <w:autoSpaceDE w:val="0"/>
        <w:autoSpaceDN w:val="0"/>
        <w:adjustRightInd w:val="0"/>
        <w:jc w:val="both"/>
        <w:rPr>
          <w:rFonts w:ascii="Arial" w:hAnsi="Arial" w:cs="Arial"/>
          <w:sz w:val="22"/>
          <w:szCs w:val="22"/>
        </w:rPr>
      </w:pPr>
    </w:p>
    <w:p w14:paraId="3359D3A6" w14:textId="77777777" w:rsidR="005314FE" w:rsidRPr="00F41152" w:rsidRDefault="005314FE" w:rsidP="005314FE">
      <w:pPr>
        <w:numPr>
          <w:ilvl w:val="0"/>
          <w:numId w:val="1"/>
        </w:numPr>
        <w:autoSpaceDE w:val="0"/>
        <w:autoSpaceDN w:val="0"/>
        <w:adjustRightInd w:val="0"/>
        <w:ind w:left="426" w:hanging="426"/>
        <w:jc w:val="both"/>
        <w:outlineLvl w:val="0"/>
        <w:rPr>
          <w:rFonts w:ascii="Arial" w:hAnsi="Arial" w:cs="Arial"/>
          <w:b/>
          <w:sz w:val="22"/>
          <w:szCs w:val="22"/>
          <w:u w:val="single"/>
        </w:rPr>
      </w:pPr>
      <w:r w:rsidRPr="00F41152">
        <w:rPr>
          <w:rFonts w:ascii="Arial" w:hAnsi="Arial" w:cs="Arial"/>
          <w:b/>
          <w:sz w:val="22"/>
          <w:szCs w:val="22"/>
          <w:u w:val="single"/>
        </w:rPr>
        <w:t>Úvod</w:t>
      </w:r>
    </w:p>
    <w:p w14:paraId="18195AC7" w14:textId="77777777" w:rsidR="005314FE" w:rsidRPr="00F41152" w:rsidRDefault="005314FE" w:rsidP="005314FE">
      <w:pPr>
        <w:autoSpaceDE w:val="0"/>
        <w:autoSpaceDN w:val="0"/>
        <w:adjustRightInd w:val="0"/>
        <w:jc w:val="both"/>
        <w:outlineLvl w:val="0"/>
        <w:rPr>
          <w:rFonts w:ascii="Arial" w:hAnsi="Arial" w:cs="Arial"/>
          <w:b/>
          <w:sz w:val="22"/>
          <w:szCs w:val="22"/>
          <w:highlight w:val="yellow"/>
          <w:u w:val="single"/>
        </w:rPr>
      </w:pPr>
    </w:p>
    <w:p w14:paraId="1FBC451C" w14:textId="77777777" w:rsidR="005314FE" w:rsidRPr="00F41152" w:rsidRDefault="005314FE" w:rsidP="005314FE">
      <w:pPr>
        <w:autoSpaceDE w:val="0"/>
        <w:autoSpaceDN w:val="0"/>
        <w:adjustRightInd w:val="0"/>
        <w:jc w:val="both"/>
        <w:outlineLvl w:val="0"/>
        <w:rPr>
          <w:rFonts w:ascii="Arial" w:hAnsi="Arial" w:cs="Arial"/>
          <w:b/>
          <w:sz w:val="22"/>
          <w:szCs w:val="22"/>
          <w:u w:val="single"/>
        </w:rPr>
      </w:pPr>
    </w:p>
    <w:p w14:paraId="14B3FB39" w14:textId="77777777" w:rsidR="005314FE" w:rsidRPr="00F41152" w:rsidRDefault="005314FE" w:rsidP="005314FE">
      <w:pPr>
        <w:pStyle w:val="Zkladntext2"/>
        <w:jc w:val="both"/>
        <w:rPr>
          <w:rFonts w:ascii="Arial" w:hAnsi="Arial" w:cs="Arial"/>
          <w:b w:val="0"/>
          <w:sz w:val="22"/>
          <w:szCs w:val="22"/>
        </w:rPr>
      </w:pPr>
      <w:r w:rsidRPr="00F41152">
        <w:rPr>
          <w:rFonts w:ascii="Arial" w:hAnsi="Arial" w:cs="Arial"/>
          <w:b w:val="0"/>
          <w:sz w:val="22"/>
          <w:szCs w:val="22"/>
        </w:rPr>
        <w:t>Nejvyšší kontrolní úřad (dále též „NKÚ“) provedl u kontrolovaných osob kontrolní akci č.</w:t>
      </w:r>
      <w:r w:rsidR="00D125FB">
        <w:rPr>
          <w:rFonts w:ascii="Arial" w:hAnsi="Arial" w:cs="Arial"/>
          <w:b w:val="0"/>
          <w:sz w:val="22"/>
          <w:szCs w:val="22"/>
        </w:rPr>
        <w:t> </w:t>
      </w:r>
      <w:r w:rsidRPr="00F41152">
        <w:rPr>
          <w:rFonts w:ascii="Arial" w:hAnsi="Arial" w:cs="Arial"/>
          <w:b w:val="0"/>
          <w:sz w:val="22"/>
          <w:szCs w:val="22"/>
        </w:rPr>
        <w:t>14/28 „Správa spotřebních daní z lihu a tabáku a příjmů z prodeje kontrolních pásek a</w:t>
      </w:r>
      <w:r w:rsidR="00D125FB">
        <w:rPr>
          <w:rFonts w:ascii="Arial" w:hAnsi="Arial" w:cs="Arial"/>
          <w:b w:val="0"/>
          <w:sz w:val="22"/>
          <w:szCs w:val="22"/>
        </w:rPr>
        <w:t> </w:t>
      </w:r>
      <w:r w:rsidRPr="00F41152">
        <w:rPr>
          <w:rFonts w:ascii="Arial" w:hAnsi="Arial" w:cs="Arial"/>
          <w:b w:val="0"/>
          <w:sz w:val="22"/>
          <w:szCs w:val="22"/>
        </w:rPr>
        <w:t>tabákových nálepek, včetně hospodaření s těmito ceninami“ (dále též „kontrolní akce NKÚ č. 14/28“). Cílem kontroly bylo prověřit postup celních orgánů při správě spotřebních daní z lihu a tabáku a při výběru příjmů z prodeje kontrolních pásek a tabákových nálepek, včetně hospodaření s těmito ceninami.</w:t>
      </w:r>
    </w:p>
    <w:p w14:paraId="57B96816" w14:textId="77777777" w:rsidR="005314FE" w:rsidRPr="00F41152" w:rsidRDefault="005314FE" w:rsidP="005314FE">
      <w:pPr>
        <w:pStyle w:val="Zkladntext2"/>
        <w:jc w:val="both"/>
        <w:rPr>
          <w:rFonts w:ascii="Arial" w:hAnsi="Arial" w:cs="Arial"/>
          <w:sz w:val="22"/>
          <w:szCs w:val="22"/>
          <w:highlight w:val="yellow"/>
        </w:rPr>
      </w:pPr>
    </w:p>
    <w:p w14:paraId="7EDAFE89" w14:textId="77777777" w:rsidR="005314FE" w:rsidRPr="00F41152" w:rsidRDefault="005314FE" w:rsidP="005314FE">
      <w:pPr>
        <w:pStyle w:val="Default"/>
        <w:jc w:val="both"/>
        <w:rPr>
          <w:rFonts w:ascii="Arial" w:hAnsi="Arial" w:cs="Arial"/>
          <w:sz w:val="22"/>
          <w:szCs w:val="22"/>
        </w:rPr>
      </w:pPr>
      <w:r w:rsidRPr="00F41152">
        <w:rPr>
          <w:rFonts w:ascii="Arial" w:hAnsi="Arial" w:cs="Arial"/>
          <w:sz w:val="22"/>
          <w:szCs w:val="22"/>
        </w:rPr>
        <w:t xml:space="preserve">Kontrolovanými osobami byly Generální ředitelství cel (dále </w:t>
      </w:r>
      <w:r>
        <w:rPr>
          <w:rFonts w:ascii="Arial" w:hAnsi="Arial" w:cs="Arial"/>
          <w:sz w:val="22"/>
          <w:szCs w:val="22"/>
        </w:rPr>
        <w:t>též</w:t>
      </w:r>
      <w:r w:rsidRPr="00F41152">
        <w:rPr>
          <w:rFonts w:ascii="Arial" w:hAnsi="Arial" w:cs="Arial"/>
          <w:sz w:val="22"/>
          <w:szCs w:val="22"/>
        </w:rPr>
        <w:t xml:space="preserve"> „GŘC“), Celní úřad pro Jihomoravský kraj, Celní úřad pro Moravskoslezský kraj, Celní úřad pro Olomoucký kraj, Celní úřad pro Pardubický kraj, Celní úřad pro Plzeňský kraj, Celní úřad pro Středočeský kraj, Celní úřad pro Zlínský kraj.</w:t>
      </w:r>
    </w:p>
    <w:p w14:paraId="3263D936" w14:textId="77777777" w:rsidR="005314FE" w:rsidRPr="00F41152" w:rsidRDefault="005314FE" w:rsidP="005314FE">
      <w:pPr>
        <w:jc w:val="both"/>
        <w:rPr>
          <w:rFonts w:ascii="Arial" w:hAnsi="Arial" w:cs="Arial"/>
          <w:sz w:val="22"/>
          <w:szCs w:val="22"/>
        </w:rPr>
      </w:pPr>
    </w:p>
    <w:p w14:paraId="3B90C7CE" w14:textId="77777777" w:rsidR="005314FE" w:rsidRPr="00493D32" w:rsidRDefault="005314FE" w:rsidP="005314FE">
      <w:pPr>
        <w:jc w:val="both"/>
        <w:rPr>
          <w:rFonts w:ascii="Arial" w:hAnsi="Arial" w:cs="Arial"/>
          <w:bCs/>
          <w:sz w:val="22"/>
          <w:szCs w:val="22"/>
          <w:u w:val="single"/>
        </w:rPr>
      </w:pPr>
      <w:r w:rsidRPr="00493D32">
        <w:rPr>
          <w:rFonts w:ascii="Arial" w:hAnsi="Arial" w:cs="Arial"/>
          <w:bCs/>
          <w:sz w:val="22"/>
          <w:szCs w:val="22"/>
          <w:u w:val="single"/>
        </w:rPr>
        <w:t>Kontrolní akce NKÚ č. 14/28 formulovala tyto závěry (celkem 12 zjištění):</w:t>
      </w:r>
    </w:p>
    <w:p w14:paraId="3C4E05D9" w14:textId="77777777" w:rsidR="005314FE" w:rsidRPr="00F41152" w:rsidRDefault="005314FE" w:rsidP="005314FE">
      <w:pPr>
        <w:jc w:val="both"/>
        <w:rPr>
          <w:rFonts w:ascii="Arial" w:hAnsi="Arial" w:cs="Arial"/>
          <w:sz w:val="22"/>
          <w:szCs w:val="22"/>
        </w:rPr>
      </w:pPr>
    </w:p>
    <w:p w14:paraId="184331C6" w14:textId="77777777" w:rsidR="005314FE" w:rsidRPr="00F41152" w:rsidRDefault="005314FE" w:rsidP="005314FE">
      <w:pPr>
        <w:numPr>
          <w:ilvl w:val="0"/>
          <w:numId w:val="4"/>
        </w:numPr>
        <w:jc w:val="both"/>
        <w:rPr>
          <w:rFonts w:ascii="Arial" w:hAnsi="Arial" w:cs="Arial"/>
          <w:bCs/>
          <w:sz w:val="22"/>
          <w:szCs w:val="22"/>
        </w:rPr>
      </w:pPr>
      <w:r w:rsidRPr="00F41152">
        <w:rPr>
          <w:rFonts w:ascii="Arial" w:hAnsi="Arial" w:cs="Arial"/>
          <w:bCs/>
          <w:sz w:val="22"/>
          <w:szCs w:val="22"/>
        </w:rPr>
        <w:t xml:space="preserve">Cíl správy SPD z lihu správně zjistit a stanovit daň nebyl dlouhodobě dosahován. Dle propočtů GŘC docházelo ročně ke snižování inkasa SPD z lihu o cca 1–2 mld. Kč. </w:t>
      </w:r>
    </w:p>
    <w:p w14:paraId="64D92788" w14:textId="77777777" w:rsidR="005314FE" w:rsidRPr="00F41152" w:rsidRDefault="005314FE" w:rsidP="005314FE">
      <w:pPr>
        <w:numPr>
          <w:ilvl w:val="0"/>
          <w:numId w:val="4"/>
        </w:numPr>
        <w:jc w:val="both"/>
        <w:rPr>
          <w:rFonts w:ascii="Arial" w:hAnsi="Arial" w:cs="Arial"/>
          <w:bCs/>
          <w:sz w:val="22"/>
          <w:szCs w:val="22"/>
        </w:rPr>
      </w:pPr>
      <w:r w:rsidRPr="00F41152">
        <w:rPr>
          <w:rFonts w:ascii="Arial" w:hAnsi="Arial" w:cs="Arial"/>
          <w:bCs/>
          <w:sz w:val="22"/>
          <w:szCs w:val="22"/>
        </w:rPr>
        <w:t>Celní orgány nezajistily, aby informační systémy a evidence vedené v souvislosti se</w:t>
      </w:r>
      <w:r w:rsidR="00D125FB">
        <w:rPr>
          <w:rFonts w:ascii="Arial" w:hAnsi="Arial" w:cs="Arial"/>
          <w:bCs/>
          <w:sz w:val="22"/>
          <w:szCs w:val="22"/>
        </w:rPr>
        <w:t> </w:t>
      </w:r>
      <w:r w:rsidRPr="00F41152">
        <w:rPr>
          <w:rFonts w:ascii="Arial" w:hAnsi="Arial" w:cs="Arial"/>
          <w:bCs/>
          <w:sz w:val="22"/>
          <w:szCs w:val="22"/>
        </w:rPr>
        <w:t xml:space="preserve"> správou SPD z lihu poskytovaly včas komplexní informace pro efektivní kontrolu daňových subjektů. </w:t>
      </w:r>
    </w:p>
    <w:p w14:paraId="79CE8BDB" w14:textId="77777777" w:rsidR="005314FE" w:rsidRPr="00F41152" w:rsidRDefault="005314FE" w:rsidP="005314FE">
      <w:pPr>
        <w:numPr>
          <w:ilvl w:val="0"/>
          <w:numId w:val="4"/>
        </w:numPr>
        <w:jc w:val="both"/>
        <w:rPr>
          <w:rFonts w:ascii="Arial" w:hAnsi="Arial" w:cs="Arial"/>
          <w:bCs/>
          <w:sz w:val="22"/>
          <w:szCs w:val="22"/>
        </w:rPr>
      </w:pPr>
      <w:r w:rsidRPr="00F41152">
        <w:rPr>
          <w:rFonts w:ascii="Arial" w:hAnsi="Arial" w:cs="Arial"/>
          <w:bCs/>
          <w:sz w:val="22"/>
          <w:szCs w:val="22"/>
        </w:rPr>
        <w:t xml:space="preserve">Kontrolní pásky nebyly a ani po zavedení nového vzoru nejsou plnohodnotným nástrojem pro kontrolu nakládání s lihem ve spotřebitelském balení a zabezpečení prodeje kvalitního nezávadného lihu. Kontrolní pásky, které daňové subjekty vykazovaly jako zničené nebo ztracené, jsou rizikové a mohou být zneužity. </w:t>
      </w:r>
    </w:p>
    <w:p w14:paraId="03D84FA4" w14:textId="77777777" w:rsidR="005314FE" w:rsidRPr="00F41152" w:rsidRDefault="005314FE" w:rsidP="005314FE">
      <w:pPr>
        <w:numPr>
          <w:ilvl w:val="0"/>
          <w:numId w:val="4"/>
        </w:numPr>
        <w:jc w:val="both"/>
        <w:rPr>
          <w:rFonts w:ascii="Arial" w:hAnsi="Arial" w:cs="Arial"/>
          <w:bCs/>
          <w:sz w:val="22"/>
          <w:szCs w:val="22"/>
        </w:rPr>
      </w:pPr>
      <w:r w:rsidRPr="00F41152">
        <w:rPr>
          <w:rFonts w:ascii="Arial" w:hAnsi="Arial" w:cs="Arial"/>
          <w:bCs/>
          <w:sz w:val="22"/>
          <w:szCs w:val="22"/>
        </w:rPr>
        <w:t xml:space="preserve">Právní úprava lhůt při dopravě vybraných výrobků znemožňuje celním úřadům (dále jen „CÚ“) efektivní a účelnou kontrolu. </w:t>
      </w:r>
    </w:p>
    <w:p w14:paraId="1C73FC74" w14:textId="77777777" w:rsidR="005314FE" w:rsidRPr="00F41152" w:rsidRDefault="005314FE" w:rsidP="005314FE">
      <w:pPr>
        <w:numPr>
          <w:ilvl w:val="0"/>
          <w:numId w:val="4"/>
        </w:numPr>
        <w:jc w:val="both"/>
        <w:rPr>
          <w:rFonts w:ascii="Arial" w:hAnsi="Arial" w:cs="Arial"/>
          <w:bCs/>
          <w:sz w:val="22"/>
          <w:szCs w:val="22"/>
        </w:rPr>
      </w:pPr>
      <w:r w:rsidRPr="00F41152">
        <w:rPr>
          <w:rFonts w:ascii="Arial" w:hAnsi="Arial" w:cs="Arial"/>
          <w:bCs/>
          <w:sz w:val="22"/>
          <w:szCs w:val="22"/>
        </w:rPr>
        <w:t xml:space="preserve">GŘC nezajistilo přiměřenou kontrolu denaturace lihu a CÚ ji nevykonávaly dostatečně. </w:t>
      </w:r>
    </w:p>
    <w:p w14:paraId="28A8B89F" w14:textId="77777777" w:rsidR="005314FE" w:rsidRPr="00F41152" w:rsidRDefault="005314FE" w:rsidP="005314FE">
      <w:pPr>
        <w:numPr>
          <w:ilvl w:val="0"/>
          <w:numId w:val="4"/>
        </w:numPr>
        <w:jc w:val="both"/>
        <w:rPr>
          <w:rFonts w:ascii="Arial" w:hAnsi="Arial" w:cs="Arial"/>
          <w:bCs/>
          <w:sz w:val="22"/>
          <w:szCs w:val="22"/>
        </w:rPr>
      </w:pPr>
      <w:r w:rsidRPr="00F41152">
        <w:rPr>
          <w:rFonts w:ascii="Arial" w:hAnsi="Arial" w:cs="Arial"/>
          <w:bCs/>
          <w:sz w:val="22"/>
          <w:szCs w:val="22"/>
        </w:rPr>
        <w:t xml:space="preserve">Plošné zavedení povinnosti vybavit místa značení lihovin sledovacím zařízením nepřineslo očekávaný efekt pro správu SPD z lihu. </w:t>
      </w:r>
    </w:p>
    <w:p w14:paraId="6BBF745D" w14:textId="77777777" w:rsidR="005314FE" w:rsidRPr="00F41152" w:rsidRDefault="005314FE" w:rsidP="005314FE">
      <w:pPr>
        <w:numPr>
          <w:ilvl w:val="0"/>
          <w:numId w:val="4"/>
        </w:numPr>
        <w:jc w:val="both"/>
        <w:rPr>
          <w:rFonts w:ascii="Arial" w:hAnsi="Arial" w:cs="Arial"/>
          <w:bCs/>
          <w:sz w:val="22"/>
          <w:szCs w:val="22"/>
        </w:rPr>
      </w:pPr>
      <w:r w:rsidRPr="00F41152">
        <w:rPr>
          <w:rFonts w:ascii="Arial" w:hAnsi="Arial" w:cs="Arial"/>
          <w:bCs/>
          <w:sz w:val="22"/>
          <w:szCs w:val="22"/>
        </w:rPr>
        <w:t xml:space="preserve">Zařazením prodeje lihu mezi koncesované živnosti nedošlo k zefektivnění správy SPD z lihu. V době kontroly NKÚ neměly CÚ komplexní přehled o prodejních místech lihovin. Z důvodu absence údajů o počtu provozoven v působnosti jednotlivých CÚ nelze vyhodnotit dostatečnost vyhledávací činnosti. </w:t>
      </w:r>
    </w:p>
    <w:p w14:paraId="2AE0145D" w14:textId="77777777" w:rsidR="005314FE" w:rsidRPr="00F41152" w:rsidRDefault="005314FE" w:rsidP="005314FE">
      <w:pPr>
        <w:numPr>
          <w:ilvl w:val="0"/>
          <w:numId w:val="4"/>
        </w:numPr>
        <w:jc w:val="both"/>
        <w:rPr>
          <w:rFonts w:ascii="Arial" w:hAnsi="Arial" w:cs="Arial"/>
          <w:bCs/>
          <w:sz w:val="22"/>
          <w:szCs w:val="22"/>
        </w:rPr>
      </w:pPr>
      <w:r w:rsidRPr="00F41152">
        <w:rPr>
          <w:rFonts w:ascii="Arial" w:hAnsi="Arial" w:cs="Arial"/>
          <w:bCs/>
          <w:sz w:val="22"/>
          <w:szCs w:val="22"/>
        </w:rPr>
        <w:t xml:space="preserve">Kontrolované CÚ neprováděly dostatečně kontrolu všech podmínek pro přiznání snížené sazby SPD z lihu při pěstitelském pálení. </w:t>
      </w:r>
    </w:p>
    <w:p w14:paraId="717A01EF" w14:textId="77777777" w:rsidR="005314FE" w:rsidRPr="00F41152" w:rsidRDefault="005314FE" w:rsidP="005314FE">
      <w:pPr>
        <w:numPr>
          <w:ilvl w:val="0"/>
          <w:numId w:val="4"/>
        </w:numPr>
        <w:jc w:val="both"/>
        <w:rPr>
          <w:rFonts w:ascii="Arial" w:hAnsi="Arial" w:cs="Arial"/>
          <w:bCs/>
          <w:sz w:val="22"/>
          <w:szCs w:val="22"/>
        </w:rPr>
      </w:pPr>
      <w:r w:rsidRPr="00F41152">
        <w:rPr>
          <w:rFonts w:ascii="Arial" w:hAnsi="Arial" w:cs="Arial"/>
          <w:bCs/>
          <w:sz w:val="22"/>
          <w:szCs w:val="22"/>
        </w:rPr>
        <w:t xml:space="preserve">Tři kontrolované CÚ, které spravovaly SPD z lihu u daňových subjektů zapojených do lihové a metanolové kauzy, nevyužily dostatečně zákonná oprávnění. </w:t>
      </w:r>
    </w:p>
    <w:p w14:paraId="70A918F8" w14:textId="77777777" w:rsidR="005314FE" w:rsidRPr="00F41152" w:rsidRDefault="005314FE" w:rsidP="005314FE">
      <w:pPr>
        <w:numPr>
          <w:ilvl w:val="0"/>
          <w:numId w:val="4"/>
        </w:numPr>
        <w:jc w:val="both"/>
        <w:rPr>
          <w:rFonts w:ascii="Arial" w:hAnsi="Arial" w:cs="Arial"/>
          <w:bCs/>
          <w:sz w:val="22"/>
          <w:szCs w:val="22"/>
        </w:rPr>
      </w:pPr>
      <w:r w:rsidRPr="00F41152">
        <w:rPr>
          <w:rFonts w:ascii="Arial" w:hAnsi="Arial" w:cs="Arial"/>
          <w:bCs/>
          <w:sz w:val="22"/>
          <w:szCs w:val="22"/>
        </w:rPr>
        <w:t>Právní úprava distribuce tabákových výrobků při změně sazby daně byla nekoncepční až do novely zákona o SPD účinné od 1. 12. 2014. Předchozí právní úprava umožňovala předzásobení tabákovými výrobky se „starou“ sazbou SPD, čímž došlo v letech 2012–2014 ke snížení očekávaných příjmů státního rozpočtu celkem o</w:t>
      </w:r>
      <w:r w:rsidR="00D125FB">
        <w:rPr>
          <w:rFonts w:ascii="Arial" w:hAnsi="Arial" w:cs="Arial"/>
          <w:bCs/>
          <w:sz w:val="22"/>
          <w:szCs w:val="22"/>
        </w:rPr>
        <w:t> </w:t>
      </w:r>
      <w:r w:rsidRPr="00F41152">
        <w:rPr>
          <w:rFonts w:ascii="Arial" w:hAnsi="Arial" w:cs="Arial"/>
          <w:bCs/>
          <w:sz w:val="22"/>
          <w:szCs w:val="22"/>
        </w:rPr>
        <w:t xml:space="preserve">cca 1,4 mld. Kč. </w:t>
      </w:r>
    </w:p>
    <w:p w14:paraId="222FD8B5" w14:textId="77777777" w:rsidR="005314FE" w:rsidRPr="00F41152" w:rsidRDefault="005314FE" w:rsidP="005314FE">
      <w:pPr>
        <w:ind w:left="708"/>
        <w:jc w:val="both"/>
        <w:rPr>
          <w:rFonts w:ascii="Arial" w:hAnsi="Arial" w:cs="Arial"/>
          <w:bCs/>
          <w:sz w:val="22"/>
          <w:szCs w:val="22"/>
        </w:rPr>
      </w:pPr>
      <w:r w:rsidRPr="00F41152">
        <w:rPr>
          <w:rFonts w:ascii="Arial" w:hAnsi="Arial" w:cs="Arial"/>
          <w:bCs/>
          <w:sz w:val="22"/>
          <w:szCs w:val="22"/>
        </w:rPr>
        <w:lastRenderedPageBreak/>
        <w:t xml:space="preserve">Pověřený CÚ nezajistil kontrolu nakládání s tabákovými nálepkami ani uplatnění správné sazby SPD při její změně. </w:t>
      </w:r>
    </w:p>
    <w:p w14:paraId="20995FE9" w14:textId="77777777" w:rsidR="005314FE" w:rsidRPr="00F41152" w:rsidRDefault="005314FE" w:rsidP="005314FE">
      <w:pPr>
        <w:numPr>
          <w:ilvl w:val="0"/>
          <w:numId w:val="4"/>
        </w:numPr>
        <w:jc w:val="both"/>
        <w:rPr>
          <w:rFonts w:ascii="Arial" w:hAnsi="Arial" w:cs="Arial"/>
          <w:bCs/>
          <w:sz w:val="22"/>
          <w:szCs w:val="22"/>
        </w:rPr>
      </w:pPr>
      <w:r w:rsidRPr="00F41152">
        <w:rPr>
          <w:rFonts w:ascii="Arial" w:hAnsi="Arial" w:cs="Arial"/>
          <w:bCs/>
          <w:sz w:val="22"/>
          <w:szCs w:val="22"/>
        </w:rPr>
        <w:t xml:space="preserve">GŘC až do roku 2014 nezavedlo dostatečně účinný vnitřní kontrolní systém pro oblast správy SPD z lihu a tabáku. </w:t>
      </w:r>
    </w:p>
    <w:p w14:paraId="3701446A" w14:textId="77777777" w:rsidR="005314FE" w:rsidRPr="00F41152" w:rsidRDefault="005314FE" w:rsidP="005314FE">
      <w:pPr>
        <w:numPr>
          <w:ilvl w:val="0"/>
          <w:numId w:val="4"/>
        </w:numPr>
        <w:jc w:val="both"/>
        <w:rPr>
          <w:rFonts w:ascii="Arial" w:hAnsi="Arial" w:cs="Arial"/>
          <w:bCs/>
          <w:sz w:val="22"/>
          <w:szCs w:val="22"/>
        </w:rPr>
      </w:pPr>
      <w:r w:rsidRPr="00F41152">
        <w:rPr>
          <w:rFonts w:ascii="Arial" w:hAnsi="Arial" w:cs="Arial"/>
          <w:bCs/>
          <w:sz w:val="22"/>
          <w:szCs w:val="22"/>
        </w:rPr>
        <w:t>U Celní správy ČR došlo mezi roky 2004 a 2014 k poklesu počtu pracovníků při souběžném nárůstu kompetencí a vykonávaných činností.</w:t>
      </w:r>
    </w:p>
    <w:p w14:paraId="46AA5705" w14:textId="77777777" w:rsidR="005314FE" w:rsidRPr="00F41152" w:rsidRDefault="005314FE" w:rsidP="005314FE">
      <w:pPr>
        <w:jc w:val="both"/>
        <w:rPr>
          <w:rFonts w:ascii="Arial" w:hAnsi="Arial" w:cs="Arial"/>
          <w:sz w:val="22"/>
          <w:szCs w:val="22"/>
        </w:rPr>
      </w:pPr>
    </w:p>
    <w:p w14:paraId="0FD943B8" w14:textId="77777777" w:rsidR="005314FE" w:rsidRPr="00F41152" w:rsidRDefault="005314FE" w:rsidP="005314FE">
      <w:pPr>
        <w:rPr>
          <w:rFonts w:ascii="Arial" w:hAnsi="Arial" w:cs="Arial"/>
          <w:sz w:val="22"/>
          <w:szCs w:val="22"/>
          <w:highlight w:val="yellow"/>
        </w:rPr>
      </w:pPr>
    </w:p>
    <w:p w14:paraId="1D07A8B6" w14:textId="77777777" w:rsidR="005314FE" w:rsidRPr="00F41152" w:rsidRDefault="005314FE" w:rsidP="005314FE">
      <w:pPr>
        <w:autoSpaceDE w:val="0"/>
        <w:autoSpaceDN w:val="0"/>
        <w:adjustRightInd w:val="0"/>
        <w:jc w:val="both"/>
        <w:rPr>
          <w:rFonts w:ascii="Arial" w:hAnsi="Arial" w:cs="Arial"/>
          <w:noProof/>
          <w:sz w:val="22"/>
          <w:szCs w:val="22"/>
        </w:rPr>
      </w:pPr>
      <w:r w:rsidRPr="00F41152">
        <w:rPr>
          <w:rFonts w:ascii="Arial" w:hAnsi="Arial" w:cs="Arial"/>
          <w:noProof/>
          <w:sz w:val="22"/>
          <w:szCs w:val="22"/>
        </w:rPr>
        <w:t xml:space="preserve">Ministerstvo financí ČR (dále </w:t>
      </w:r>
      <w:r>
        <w:rPr>
          <w:rFonts w:ascii="Arial" w:hAnsi="Arial" w:cs="Arial"/>
          <w:noProof/>
          <w:sz w:val="22"/>
          <w:szCs w:val="22"/>
        </w:rPr>
        <w:t>též</w:t>
      </w:r>
      <w:r w:rsidRPr="00F41152">
        <w:rPr>
          <w:rFonts w:ascii="Arial" w:hAnsi="Arial" w:cs="Arial"/>
          <w:noProof/>
          <w:sz w:val="22"/>
          <w:szCs w:val="22"/>
        </w:rPr>
        <w:t xml:space="preserve"> „MF“) a GŘC důkladně analyzoval</w:t>
      </w:r>
      <w:r w:rsidR="00E254B1">
        <w:rPr>
          <w:rFonts w:ascii="Arial" w:hAnsi="Arial" w:cs="Arial"/>
          <w:noProof/>
          <w:sz w:val="22"/>
          <w:szCs w:val="22"/>
        </w:rPr>
        <w:t>a</w:t>
      </w:r>
      <w:r w:rsidRPr="00F41152">
        <w:rPr>
          <w:rFonts w:ascii="Arial" w:hAnsi="Arial" w:cs="Arial"/>
          <w:noProof/>
          <w:sz w:val="22"/>
          <w:szCs w:val="22"/>
        </w:rPr>
        <w:t xml:space="preserve"> nedostatky uvedené v Kontrolním závěru z kontrolní akce NKÚ č. 14/28 a v rámci předkládaného Stanoviska přijal</w:t>
      </w:r>
      <w:r w:rsidR="00E254B1">
        <w:rPr>
          <w:rFonts w:ascii="Arial" w:hAnsi="Arial" w:cs="Arial"/>
          <w:noProof/>
          <w:sz w:val="22"/>
          <w:szCs w:val="22"/>
        </w:rPr>
        <w:t>a</w:t>
      </w:r>
      <w:r w:rsidRPr="00F41152">
        <w:rPr>
          <w:rFonts w:ascii="Arial" w:hAnsi="Arial" w:cs="Arial"/>
          <w:noProof/>
          <w:sz w:val="22"/>
          <w:szCs w:val="22"/>
        </w:rPr>
        <w:t xml:space="preserve"> opatření k jejich odstranění. </w:t>
      </w:r>
    </w:p>
    <w:p w14:paraId="49E010CE" w14:textId="77777777" w:rsidR="005314FE" w:rsidRPr="00F41152" w:rsidRDefault="005314FE" w:rsidP="005314FE">
      <w:pPr>
        <w:autoSpaceDE w:val="0"/>
        <w:autoSpaceDN w:val="0"/>
        <w:adjustRightInd w:val="0"/>
        <w:jc w:val="both"/>
        <w:rPr>
          <w:rFonts w:ascii="Arial" w:hAnsi="Arial" w:cs="Arial"/>
          <w:noProof/>
          <w:sz w:val="22"/>
          <w:szCs w:val="22"/>
          <w:highlight w:val="yellow"/>
        </w:rPr>
      </w:pPr>
    </w:p>
    <w:p w14:paraId="33F17BA3" w14:textId="77777777" w:rsidR="005314FE" w:rsidRPr="00F41152" w:rsidRDefault="005314FE" w:rsidP="005314FE">
      <w:pPr>
        <w:autoSpaceDE w:val="0"/>
        <w:autoSpaceDN w:val="0"/>
        <w:adjustRightInd w:val="0"/>
        <w:jc w:val="both"/>
        <w:rPr>
          <w:rFonts w:ascii="Arial" w:hAnsi="Arial" w:cs="Arial"/>
          <w:sz w:val="22"/>
          <w:szCs w:val="22"/>
        </w:rPr>
      </w:pPr>
      <w:r w:rsidRPr="00F41152">
        <w:rPr>
          <w:rFonts w:ascii="Arial" w:hAnsi="Arial" w:cs="Arial"/>
          <w:noProof/>
          <w:sz w:val="22"/>
          <w:szCs w:val="22"/>
        </w:rPr>
        <w:t>Pro přehlednost je v následujících částech Stanoviska respektováno členění částí a kapitol tak, jak je uvedeno v Kontrolním závěru.</w:t>
      </w:r>
    </w:p>
    <w:p w14:paraId="5220FD05" w14:textId="77777777" w:rsidR="005314FE" w:rsidRPr="00C22B85" w:rsidRDefault="005314FE" w:rsidP="00C22B85">
      <w:pPr>
        <w:rPr>
          <w:rFonts w:ascii="Arial" w:hAnsi="Arial" w:cs="Arial"/>
          <w:sz w:val="22"/>
          <w:szCs w:val="22"/>
        </w:rPr>
      </w:pPr>
      <w:r w:rsidRPr="00F41152">
        <w:rPr>
          <w:rFonts w:ascii="Arial" w:hAnsi="Arial" w:cs="Arial"/>
          <w:sz w:val="22"/>
          <w:szCs w:val="22"/>
        </w:rPr>
        <w:br w:type="page"/>
      </w:r>
    </w:p>
    <w:p w14:paraId="56979CBB" w14:textId="77777777" w:rsidR="00C126A0" w:rsidRPr="005448B7" w:rsidRDefault="00C126A0" w:rsidP="009D7404">
      <w:pPr>
        <w:numPr>
          <w:ilvl w:val="0"/>
          <w:numId w:val="1"/>
        </w:numPr>
        <w:autoSpaceDE w:val="0"/>
        <w:autoSpaceDN w:val="0"/>
        <w:adjustRightInd w:val="0"/>
        <w:ind w:left="0" w:firstLine="0"/>
        <w:outlineLvl w:val="0"/>
        <w:rPr>
          <w:rFonts w:ascii="Arial" w:hAnsi="Arial" w:cs="Arial"/>
          <w:b/>
          <w:sz w:val="22"/>
          <w:szCs w:val="22"/>
          <w:u w:val="single"/>
        </w:rPr>
      </w:pPr>
      <w:r w:rsidRPr="005448B7">
        <w:rPr>
          <w:rFonts w:ascii="Arial" w:hAnsi="Arial" w:cs="Arial"/>
          <w:b/>
          <w:sz w:val="22"/>
          <w:szCs w:val="22"/>
          <w:u w:val="single"/>
        </w:rPr>
        <w:lastRenderedPageBreak/>
        <w:t>Stanovisko ke zjištěným nedostatkům uvedeným v Kontrolním závěru</w:t>
      </w:r>
    </w:p>
    <w:p w14:paraId="11648BB3" w14:textId="77777777" w:rsidR="00C126A0" w:rsidRDefault="00C126A0" w:rsidP="009D7404">
      <w:pPr>
        <w:autoSpaceDE w:val="0"/>
        <w:autoSpaceDN w:val="0"/>
        <w:adjustRightInd w:val="0"/>
        <w:outlineLvl w:val="0"/>
        <w:rPr>
          <w:rFonts w:ascii="Arial" w:hAnsi="Arial" w:cs="Arial"/>
          <w:b/>
          <w:bCs/>
          <w:i/>
          <w:sz w:val="22"/>
          <w:szCs w:val="22"/>
          <w:u w:val="single"/>
        </w:rPr>
      </w:pPr>
      <w:r w:rsidRPr="005448B7">
        <w:rPr>
          <w:rFonts w:ascii="Arial" w:hAnsi="Arial" w:cs="Arial"/>
          <w:b/>
          <w:i/>
          <w:sz w:val="22"/>
          <w:szCs w:val="22"/>
          <w:u w:val="single"/>
        </w:rPr>
        <w:t xml:space="preserve">Část </w:t>
      </w:r>
      <w:r w:rsidRPr="005448B7">
        <w:rPr>
          <w:rFonts w:ascii="Arial" w:hAnsi="Arial" w:cs="Arial"/>
          <w:b/>
          <w:bCs/>
          <w:i/>
          <w:sz w:val="22"/>
          <w:szCs w:val="22"/>
          <w:u w:val="single"/>
        </w:rPr>
        <w:t>III. Podrobné informace ke zjištěným skutečnostem</w:t>
      </w:r>
    </w:p>
    <w:p w14:paraId="59501CBB" w14:textId="77777777" w:rsidR="00B209EB" w:rsidRPr="00C126A0" w:rsidRDefault="00B209EB" w:rsidP="00C126A0">
      <w:pPr>
        <w:autoSpaceDE w:val="0"/>
        <w:autoSpaceDN w:val="0"/>
        <w:adjustRightInd w:val="0"/>
        <w:jc w:val="both"/>
        <w:outlineLvl w:val="0"/>
        <w:rPr>
          <w:rFonts w:ascii="Arial" w:hAnsi="Arial" w:cs="Arial"/>
          <w:b/>
          <w:bCs/>
          <w:i/>
          <w:sz w:val="22"/>
          <w:szCs w:val="22"/>
          <w:u w:val="single"/>
        </w:rPr>
      </w:pPr>
    </w:p>
    <w:p w14:paraId="716B0F71" w14:textId="77777777" w:rsidR="00C126A0" w:rsidRDefault="00B209EB" w:rsidP="00C126A0">
      <w:pPr>
        <w:autoSpaceDE w:val="0"/>
        <w:autoSpaceDN w:val="0"/>
        <w:adjustRightInd w:val="0"/>
        <w:jc w:val="both"/>
        <w:outlineLvl w:val="0"/>
        <w:rPr>
          <w:rFonts w:ascii="Arial" w:hAnsi="Arial" w:cs="Arial"/>
          <w:b/>
          <w:noProof/>
          <w:sz w:val="22"/>
          <w:szCs w:val="22"/>
        </w:rPr>
      </w:pPr>
      <w:r>
        <w:rPr>
          <w:rFonts w:ascii="Arial" w:hAnsi="Arial" w:cs="Arial"/>
          <w:b/>
          <w:noProof/>
          <w:sz w:val="22"/>
          <w:szCs w:val="22"/>
        </w:rPr>
        <w:t>Bod 1. Správa SPD z</w:t>
      </w:r>
      <w:r w:rsidR="00400E58">
        <w:rPr>
          <w:rFonts w:ascii="Arial" w:hAnsi="Arial" w:cs="Arial"/>
          <w:b/>
          <w:noProof/>
          <w:sz w:val="22"/>
          <w:szCs w:val="22"/>
        </w:rPr>
        <w:t> </w:t>
      </w:r>
      <w:r>
        <w:rPr>
          <w:rFonts w:ascii="Arial" w:hAnsi="Arial" w:cs="Arial"/>
          <w:b/>
          <w:noProof/>
          <w:sz w:val="22"/>
          <w:szCs w:val="22"/>
        </w:rPr>
        <w:t>lihu</w:t>
      </w:r>
    </w:p>
    <w:p w14:paraId="333C5644" w14:textId="77777777" w:rsidR="00400E58" w:rsidRDefault="00400E58" w:rsidP="00C126A0">
      <w:pPr>
        <w:autoSpaceDE w:val="0"/>
        <w:autoSpaceDN w:val="0"/>
        <w:adjustRightInd w:val="0"/>
        <w:jc w:val="both"/>
        <w:outlineLvl w:val="0"/>
        <w:rPr>
          <w:rFonts w:ascii="Arial" w:hAnsi="Arial" w:cs="Arial"/>
          <w:b/>
          <w:noProof/>
          <w:sz w:val="22"/>
          <w:szCs w:val="22"/>
        </w:rPr>
      </w:pPr>
    </w:p>
    <w:p w14:paraId="2CC63E0E" w14:textId="77777777" w:rsidR="00515C03" w:rsidRDefault="00515C03" w:rsidP="00C126A0">
      <w:pPr>
        <w:autoSpaceDE w:val="0"/>
        <w:autoSpaceDN w:val="0"/>
        <w:adjustRightInd w:val="0"/>
        <w:jc w:val="both"/>
        <w:outlineLvl w:val="0"/>
        <w:rPr>
          <w:rFonts w:ascii="Arial" w:hAnsi="Arial" w:cs="Arial"/>
          <w:b/>
          <w:noProof/>
          <w:sz w:val="22"/>
          <w:szCs w:val="22"/>
        </w:rPr>
      </w:pPr>
      <w:r w:rsidRPr="00E208AE">
        <w:rPr>
          <w:rFonts w:ascii="Arial" w:hAnsi="Arial" w:cs="Arial"/>
          <w:i/>
          <w:sz w:val="22"/>
          <w:szCs w:val="22"/>
          <w:u w:val="single"/>
        </w:rPr>
        <w:t>Zjištění NKÚ:</w:t>
      </w:r>
    </w:p>
    <w:p w14:paraId="4C476046" w14:textId="77777777" w:rsidR="00B209EB" w:rsidRDefault="00515C03" w:rsidP="00C126A0">
      <w:pPr>
        <w:autoSpaceDE w:val="0"/>
        <w:autoSpaceDN w:val="0"/>
        <w:adjustRightInd w:val="0"/>
        <w:jc w:val="both"/>
        <w:outlineLvl w:val="0"/>
        <w:rPr>
          <w:rFonts w:ascii="Arial" w:hAnsi="Arial" w:cs="Arial"/>
          <w:i/>
          <w:sz w:val="22"/>
          <w:szCs w:val="22"/>
        </w:rPr>
      </w:pPr>
      <w:r>
        <w:rPr>
          <w:rFonts w:ascii="Arial" w:hAnsi="Arial" w:cs="Arial"/>
          <w:i/>
          <w:sz w:val="22"/>
          <w:szCs w:val="22"/>
        </w:rPr>
        <w:t>„</w:t>
      </w:r>
      <w:r w:rsidR="00B209EB" w:rsidRPr="00B209EB">
        <w:rPr>
          <w:rFonts w:ascii="Arial" w:hAnsi="Arial" w:cs="Arial"/>
          <w:i/>
          <w:sz w:val="22"/>
          <w:szCs w:val="22"/>
        </w:rPr>
        <w:t>Cíl správy SPD z lihu správně zjistit a stanovit daň nebyl dlouhodobě dosahován. Dle</w:t>
      </w:r>
      <w:r w:rsidR="001C1916">
        <w:rPr>
          <w:rFonts w:ascii="Arial" w:hAnsi="Arial" w:cs="Arial"/>
          <w:i/>
          <w:sz w:val="22"/>
          <w:szCs w:val="22"/>
        </w:rPr>
        <w:t> </w:t>
      </w:r>
      <w:r w:rsidR="00B209EB" w:rsidRPr="00B209EB">
        <w:rPr>
          <w:rFonts w:ascii="Arial" w:hAnsi="Arial" w:cs="Arial"/>
          <w:i/>
          <w:sz w:val="22"/>
          <w:szCs w:val="22"/>
        </w:rPr>
        <w:t>propočtů GŘC docházelo ročně ke snižování inkasa SPD z lihu o cca 1–2 mld. Kč.</w:t>
      </w:r>
      <w:r>
        <w:rPr>
          <w:rFonts w:ascii="Arial" w:hAnsi="Arial" w:cs="Arial"/>
          <w:i/>
          <w:sz w:val="22"/>
          <w:szCs w:val="22"/>
        </w:rPr>
        <w:t>“</w:t>
      </w:r>
    </w:p>
    <w:p w14:paraId="69453851" w14:textId="77777777" w:rsidR="00515C03" w:rsidRPr="00B209EB" w:rsidRDefault="00515C03" w:rsidP="00C126A0">
      <w:pPr>
        <w:autoSpaceDE w:val="0"/>
        <w:autoSpaceDN w:val="0"/>
        <w:adjustRightInd w:val="0"/>
        <w:jc w:val="both"/>
        <w:outlineLvl w:val="0"/>
        <w:rPr>
          <w:rFonts w:ascii="Arial" w:hAnsi="Arial" w:cs="Arial"/>
          <w:i/>
          <w:sz w:val="22"/>
          <w:szCs w:val="22"/>
        </w:rPr>
      </w:pPr>
    </w:p>
    <w:p w14:paraId="1F8E61EE" w14:textId="77777777" w:rsidR="00B209EB" w:rsidRDefault="00B209EB" w:rsidP="00C126A0">
      <w:pPr>
        <w:autoSpaceDE w:val="0"/>
        <w:autoSpaceDN w:val="0"/>
        <w:adjustRightInd w:val="0"/>
        <w:jc w:val="both"/>
        <w:outlineLvl w:val="0"/>
        <w:rPr>
          <w:sz w:val="23"/>
          <w:szCs w:val="23"/>
        </w:rPr>
      </w:pPr>
      <w:r w:rsidRPr="00B209EB">
        <w:rPr>
          <w:rFonts w:ascii="Arial" w:hAnsi="Arial" w:cs="Arial"/>
          <w:bCs/>
          <w:iCs/>
          <w:sz w:val="22"/>
          <w:szCs w:val="22"/>
          <w:u w:val="single"/>
        </w:rPr>
        <w:t>Stanovisko:</w:t>
      </w:r>
    </w:p>
    <w:p w14:paraId="344FAD85" w14:textId="77777777" w:rsidR="00B209EB" w:rsidRPr="00577E2B" w:rsidRDefault="00B209EB" w:rsidP="00B209EB">
      <w:pPr>
        <w:jc w:val="both"/>
        <w:rPr>
          <w:rFonts w:ascii="Arial" w:hAnsi="Arial" w:cs="Arial"/>
          <w:sz w:val="22"/>
          <w:szCs w:val="22"/>
        </w:rPr>
      </w:pPr>
      <w:r w:rsidRPr="00577E2B">
        <w:rPr>
          <w:rFonts w:ascii="Arial" w:hAnsi="Arial" w:cs="Arial"/>
          <w:sz w:val="22"/>
          <w:szCs w:val="22"/>
        </w:rPr>
        <w:t>Nejednalo se o snižování inkasa, tj. o pokles výběru oproti předchozímu roku, nýbrž o odhad částky daňových úniků na dani z lihu. Vyjádřeno procenty činil odhad „černého“ trhu v letech 2009 a 2010 cca 22 % a v letech 2012 a 2013 cca 13 %. Dochází tedy ke snižování mezery mezi potenciálním a reálným inkasem.</w:t>
      </w:r>
    </w:p>
    <w:p w14:paraId="6FC09AC9" w14:textId="77777777" w:rsidR="00B209EB" w:rsidRDefault="00211C47" w:rsidP="00B209EB">
      <w:pPr>
        <w:autoSpaceDE w:val="0"/>
        <w:autoSpaceDN w:val="0"/>
        <w:adjustRightInd w:val="0"/>
        <w:jc w:val="both"/>
        <w:outlineLvl w:val="0"/>
        <w:rPr>
          <w:rFonts w:ascii="Arial" w:hAnsi="Arial" w:cs="Arial"/>
          <w:sz w:val="22"/>
          <w:szCs w:val="22"/>
        </w:rPr>
      </w:pPr>
      <w:r>
        <w:rPr>
          <w:rFonts w:ascii="Arial" w:hAnsi="Arial" w:cs="Arial"/>
          <w:sz w:val="22"/>
          <w:szCs w:val="22"/>
        </w:rPr>
        <w:t>Od roku 2012 dochází k postupné</w:t>
      </w:r>
      <w:r w:rsidR="00B209EB" w:rsidRPr="00577E2B">
        <w:rPr>
          <w:rFonts w:ascii="Arial" w:hAnsi="Arial" w:cs="Arial"/>
          <w:sz w:val="22"/>
          <w:szCs w:val="22"/>
        </w:rPr>
        <w:t>mu zvyšování inkasa spotřební daně z lihu.</w:t>
      </w:r>
    </w:p>
    <w:p w14:paraId="4AFEF832" w14:textId="77777777" w:rsidR="00BC7EED" w:rsidRPr="00A805BB" w:rsidRDefault="00BC7EED" w:rsidP="00BC7EED">
      <w:pPr>
        <w:autoSpaceDE w:val="0"/>
        <w:autoSpaceDN w:val="0"/>
        <w:adjustRightInd w:val="0"/>
        <w:jc w:val="both"/>
        <w:outlineLvl w:val="0"/>
        <w:rPr>
          <w:rFonts w:ascii="Arial" w:hAnsi="Arial" w:cs="Arial"/>
          <w:sz w:val="22"/>
          <w:szCs w:val="22"/>
        </w:rPr>
      </w:pPr>
    </w:p>
    <w:p w14:paraId="328474A6" w14:textId="77777777" w:rsidR="00BC7EED" w:rsidRDefault="00BC7EED" w:rsidP="00BC7EED">
      <w:pPr>
        <w:autoSpaceDE w:val="0"/>
        <w:autoSpaceDN w:val="0"/>
        <w:adjustRightInd w:val="0"/>
        <w:jc w:val="both"/>
        <w:outlineLvl w:val="0"/>
        <w:rPr>
          <w:rFonts w:ascii="Arial" w:hAnsi="Arial" w:cs="Arial"/>
          <w:sz w:val="22"/>
          <w:szCs w:val="22"/>
        </w:rPr>
      </w:pPr>
      <w:r>
        <w:rPr>
          <w:noProof/>
        </w:rPr>
        <w:drawing>
          <wp:inline distT="0" distB="0" distL="0" distR="0" wp14:anchorId="3A1BD941" wp14:editId="596A76B7">
            <wp:extent cx="5774055" cy="3175000"/>
            <wp:effectExtent l="0" t="0" r="17145" b="25400"/>
            <wp:docPr id="1" name="Graf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1E7BE005" w14:textId="77777777" w:rsidR="00BC7EED" w:rsidRPr="00577E2B" w:rsidRDefault="00BC7EED" w:rsidP="00B209EB">
      <w:pPr>
        <w:autoSpaceDE w:val="0"/>
        <w:autoSpaceDN w:val="0"/>
        <w:adjustRightInd w:val="0"/>
        <w:jc w:val="both"/>
        <w:outlineLvl w:val="0"/>
        <w:rPr>
          <w:rFonts w:ascii="Arial" w:hAnsi="Arial" w:cs="Arial"/>
          <w:sz w:val="22"/>
          <w:szCs w:val="22"/>
        </w:rPr>
      </w:pPr>
    </w:p>
    <w:p w14:paraId="114DDFE2" w14:textId="77777777" w:rsidR="00B209EB" w:rsidRDefault="00B209EB" w:rsidP="00B209EB">
      <w:pPr>
        <w:autoSpaceDE w:val="0"/>
        <w:autoSpaceDN w:val="0"/>
        <w:adjustRightInd w:val="0"/>
        <w:jc w:val="both"/>
        <w:outlineLvl w:val="0"/>
        <w:rPr>
          <w:sz w:val="23"/>
          <w:szCs w:val="23"/>
        </w:rPr>
      </w:pPr>
    </w:p>
    <w:p w14:paraId="7392A030" w14:textId="77777777" w:rsidR="00400E58" w:rsidRDefault="00400E58" w:rsidP="00B209EB">
      <w:pPr>
        <w:autoSpaceDE w:val="0"/>
        <w:autoSpaceDN w:val="0"/>
        <w:adjustRightInd w:val="0"/>
        <w:jc w:val="both"/>
        <w:outlineLvl w:val="0"/>
        <w:rPr>
          <w:rFonts w:ascii="Arial" w:hAnsi="Arial" w:cs="Arial"/>
          <w:b/>
          <w:noProof/>
          <w:sz w:val="22"/>
          <w:szCs w:val="22"/>
        </w:rPr>
      </w:pPr>
    </w:p>
    <w:p w14:paraId="5B184F64" w14:textId="77777777" w:rsidR="00FE0D39" w:rsidRDefault="00577E2B" w:rsidP="00FE0D39">
      <w:pPr>
        <w:pStyle w:val="Default"/>
        <w:jc w:val="both"/>
        <w:rPr>
          <w:rFonts w:ascii="Arial" w:hAnsi="Arial" w:cs="Arial"/>
          <w:b/>
          <w:bCs/>
          <w:color w:val="auto"/>
          <w:sz w:val="22"/>
          <w:szCs w:val="22"/>
        </w:rPr>
      </w:pPr>
      <w:r>
        <w:rPr>
          <w:rFonts w:ascii="Arial" w:hAnsi="Arial" w:cs="Arial"/>
          <w:b/>
          <w:bCs/>
          <w:color w:val="auto"/>
          <w:sz w:val="22"/>
          <w:szCs w:val="22"/>
        </w:rPr>
        <w:t xml:space="preserve">Bod </w:t>
      </w:r>
      <w:r w:rsidR="00400E58">
        <w:rPr>
          <w:rFonts w:ascii="Arial" w:hAnsi="Arial" w:cs="Arial"/>
          <w:b/>
          <w:bCs/>
          <w:color w:val="auto"/>
          <w:sz w:val="22"/>
          <w:szCs w:val="22"/>
        </w:rPr>
        <w:t>1</w:t>
      </w:r>
      <w:r>
        <w:rPr>
          <w:rFonts w:ascii="Arial" w:hAnsi="Arial" w:cs="Arial"/>
          <w:b/>
          <w:bCs/>
          <w:color w:val="auto"/>
          <w:sz w:val="22"/>
          <w:szCs w:val="22"/>
        </w:rPr>
        <w:t>a)</w:t>
      </w:r>
      <w:r w:rsidR="00FE0D39" w:rsidRPr="00FE0D39">
        <w:rPr>
          <w:rFonts w:ascii="Arial" w:hAnsi="Arial" w:cs="Arial"/>
          <w:b/>
          <w:bCs/>
          <w:color w:val="auto"/>
          <w:sz w:val="22"/>
          <w:szCs w:val="22"/>
        </w:rPr>
        <w:t xml:space="preserve"> Evidence a informační systémy</w:t>
      </w:r>
    </w:p>
    <w:p w14:paraId="4EAA9634" w14:textId="77777777" w:rsidR="00E208AE" w:rsidRDefault="00E208AE" w:rsidP="00FE0D39">
      <w:pPr>
        <w:pStyle w:val="Default"/>
        <w:jc w:val="both"/>
        <w:rPr>
          <w:rFonts w:ascii="Arial" w:hAnsi="Arial" w:cs="Arial"/>
          <w:b/>
          <w:bCs/>
          <w:color w:val="auto"/>
          <w:sz w:val="22"/>
          <w:szCs w:val="22"/>
        </w:rPr>
      </w:pPr>
    </w:p>
    <w:p w14:paraId="015131CB" w14:textId="77777777" w:rsidR="00E208AE" w:rsidRPr="00FE0D39" w:rsidRDefault="00E208AE" w:rsidP="00FE0D39">
      <w:pPr>
        <w:pStyle w:val="Default"/>
        <w:jc w:val="both"/>
        <w:rPr>
          <w:rFonts w:ascii="Arial" w:hAnsi="Arial" w:cs="Arial"/>
          <w:color w:val="auto"/>
          <w:sz w:val="22"/>
          <w:szCs w:val="22"/>
        </w:rPr>
      </w:pPr>
      <w:r w:rsidRPr="00E208AE">
        <w:rPr>
          <w:rFonts w:ascii="Arial" w:hAnsi="Arial" w:cs="Arial"/>
          <w:i/>
          <w:sz w:val="22"/>
          <w:szCs w:val="22"/>
          <w:u w:val="single"/>
        </w:rPr>
        <w:t>Zjištění NKÚ:</w:t>
      </w:r>
    </w:p>
    <w:p w14:paraId="22EFF79D" w14:textId="77777777" w:rsidR="00FE0D39" w:rsidRPr="00E208AE" w:rsidRDefault="00400E58" w:rsidP="00FE0D39">
      <w:pPr>
        <w:pStyle w:val="Default"/>
        <w:jc w:val="both"/>
        <w:rPr>
          <w:rFonts w:ascii="Arial" w:hAnsi="Arial" w:cs="Arial"/>
          <w:i/>
          <w:color w:val="auto"/>
          <w:sz w:val="22"/>
          <w:szCs w:val="22"/>
        </w:rPr>
      </w:pPr>
      <w:r>
        <w:rPr>
          <w:rFonts w:ascii="Arial" w:hAnsi="Arial" w:cs="Arial"/>
          <w:i/>
          <w:color w:val="auto"/>
          <w:sz w:val="22"/>
          <w:szCs w:val="22"/>
        </w:rPr>
        <w:t>„</w:t>
      </w:r>
      <w:r w:rsidR="00FE0D39" w:rsidRPr="00E208AE">
        <w:rPr>
          <w:rFonts w:ascii="Arial" w:hAnsi="Arial" w:cs="Arial"/>
          <w:i/>
          <w:color w:val="auto"/>
          <w:sz w:val="22"/>
          <w:szCs w:val="22"/>
        </w:rPr>
        <w:t>Daňové subjekty vedou ze zákona o SPD</w:t>
      </w:r>
      <w:r w:rsidR="00C801C5" w:rsidRPr="00E208AE">
        <w:rPr>
          <w:rFonts w:ascii="Arial" w:hAnsi="Arial" w:cs="Arial"/>
          <w:i/>
          <w:color w:val="auto"/>
          <w:sz w:val="22"/>
          <w:szCs w:val="22"/>
        </w:rPr>
        <w:t xml:space="preserve"> (spotřební daň)</w:t>
      </w:r>
      <w:r w:rsidR="00FE0D39" w:rsidRPr="00E208AE">
        <w:rPr>
          <w:rFonts w:ascii="Arial" w:hAnsi="Arial" w:cs="Arial"/>
          <w:i/>
          <w:color w:val="auto"/>
          <w:sz w:val="22"/>
          <w:szCs w:val="22"/>
        </w:rPr>
        <w:t xml:space="preserve"> a zákona o povinném značení lihu tři evidence o výrobě a nakládání s lihem a kontrolními páskami, avšak údaje z nich daňové subjekty neposkytovaly CÚ </w:t>
      </w:r>
      <w:r w:rsidR="00C801C5" w:rsidRPr="00E208AE">
        <w:rPr>
          <w:rFonts w:ascii="Arial" w:hAnsi="Arial" w:cs="Arial"/>
          <w:i/>
          <w:color w:val="auto"/>
          <w:sz w:val="22"/>
          <w:szCs w:val="22"/>
        </w:rPr>
        <w:t xml:space="preserve">(celní úřad) </w:t>
      </w:r>
      <w:r w:rsidR="00FE0D39" w:rsidRPr="00E208AE">
        <w:rPr>
          <w:rFonts w:ascii="Arial" w:hAnsi="Arial" w:cs="Arial"/>
          <w:i/>
          <w:color w:val="auto"/>
          <w:sz w:val="22"/>
          <w:szCs w:val="22"/>
        </w:rPr>
        <w:t xml:space="preserve">v takové podobě, v takovém rozsahu a v takovém okamžiku, aby bylo možné provádět dostatečnou kontrolu správnosti údajů v daňových přiznáních, kontrolu výše zajištění daně a kontrolu pravosti dokladů při dopravě a distribuci lihu. Důsledkem byla nedostatečná kontrola a dohled CÚ nad nakládáním s lihem, neefektivní výkon kontroly u daňových subjektů a riziko nedostatečného zajištění daně. </w:t>
      </w:r>
    </w:p>
    <w:p w14:paraId="6AFB04B8" w14:textId="77777777" w:rsidR="00FE0D39" w:rsidRPr="00E208AE" w:rsidRDefault="00FE0D39" w:rsidP="00FE0D39">
      <w:pPr>
        <w:pStyle w:val="Default"/>
        <w:jc w:val="both"/>
        <w:rPr>
          <w:rFonts w:ascii="Arial" w:hAnsi="Arial" w:cs="Arial"/>
          <w:i/>
          <w:color w:val="auto"/>
          <w:sz w:val="22"/>
          <w:szCs w:val="22"/>
        </w:rPr>
      </w:pPr>
      <w:r w:rsidRPr="00E208AE">
        <w:rPr>
          <w:rFonts w:ascii="Arial" w:hAnsi="Arial" w:cs="Arial"/>
          <w:i/>
          <w:color w:val="auto"/>
          <w:sz w:val="22"/>
          <w:szCs w:val="22"/>
        </w:rPr>
        <w:t>Celní orgány byly oprávněny nastavit rozsah vedení evidence a způsob předávání údajů daňovými subjekty, svého oprávnění ale nevyužívaly v plné míře. NKÚ zjistil, že i</w:t>
      </w:r>
      <w:r w:rsidR="001B4593">
        <w:rPr>
          <w:rFonts w:ascii="Arial" w:hAnsi="Arial" w:cs="Arial"/>
          <w:i/>
          <w:color w:val="auto"/>
          <w:sz w:val="22"/>
          <w:szCs w:val="22"/>
        </w:rPr>
        <w:t> </w:t>
      </w:r>
      <w:r w:rsidRPr="00E208AE">
        <w:rPr>
          <w:rFonts w:ascii="Arial" w:hAnsi="Arial" w:cs="Arial"/>
          <w:i/>
          <w:color w:val="auto"/>
          <w:sz w:val="22"/>
          <w:szCs w:val="22"/>
        </w:rPr>
        <w:t>v</w:t>
      </w:r>
      <w:r w:rsidR="001B4593">
        <w:rPr>
          <w:rFonts w:ascii="Arial" w:hAnsi="Arial" w:cs="Arial"/>
          <w:i/>
          <w:color w:val="auto"/>
          <w:sz w:val="22"/>
          <w:szCs w:val="22"/>
        </w:rPr>
        <w:t> </w:t>
      </w:r>
      <w:r w:rsidRPr="00E208AE">
        <w:rPr>
          <w:rFonts w:ascii="Arial" w:hAnsi="Arial" w:cs="Arial"/>
          <w:i/>
          <w:color w:val="auto"/>
          <w:sz w:val="22"/>
          <w:szCs w:val="22"/>
        </w:rPr>
        <w:t xml:space="preserve">případech, kdy celní orgány tyto povinnosti stanovily, nebylo ze strany CÚ jejich plnění důsledně kontrolováno a vymáháno. GŘC </w:t>
      </w:r>
      <w:r w:rsidR="00C801C5" w:rsidRPr="00E208AE">
        <w:rPr>
          <w:rFonts w:ascii="Arial" w:hAnsi="Arial" w:cs="Arial"/>
          <w:i/>
          <w:color w:val="auto"/>
          <w:sz w:val="22"/>
          <w:szCs w:val="22"/>
        </w:rPr>
        <w:t xml:space="preserve">(Generální ředitelství cel) </w:t>
      </w:r>
      <w:r w:rsidRPr="00E208AE">
        <w:rPr>
          <w:rFonts w:ascii="Arial" w:hAnsi="Arial" w:cs="Arial"/>
          <w:i/>
          <w:color w:val="auto"/>
          <w:sz w:val="22"/>
          <w:szCs w:val="22"/>
        </w:rPr>
        <w:t xml:space="preserve">neiniciovalo celní ředitelství a CÚ k uložení povinnosti daňovým subjektům ohledně vedení a předávání </w:t>
      </w:r>
      <w:r w:rsidRPr="00E208AE">
        <w:rPr>
          <w:rFonts w:ascii="Arial" w:hAnsi="Arial" w:cs="Arial"/>
          <w:i/>
          <w:color w:val="auto"/>
          <w:sz w:val="22"/>
          <w:szCs w:val="22"/>
        </w:rPr>
        <w:lastRenderedPageBreak/>
        <w:t>evidencí celním orgánům a požadavky na</w:t>
      </w:r>
      <w:r w:rsidRPr="00E208AE">
        <w:rPr>
          <w:rFonts w:ascii="Arial" w:hAnsi="Arial" w:cs="Arial"/>
          <w:i/>
          <w:sz w:val="22"/>
          <w:szCs w:val="22"/>
        </w:rPr>
        <w:t xml:space="preserve"> </w:t>
      </w:r>
      <w:r w:rsidRPr="00E208AE">
        <w:rPr>
          <w:rFonts w:ascii="Arial" w:hAnsi="Arial" w:cs="Arial"/>
          <w:i/>
          <w:color w:val="auto"/>
          <w:sz w:val="22"/>
          <w:szCs w:val="22"/>
        </w:rPr>
        <w:t xml:space="preserve">strukturu a formát vedení evidence zveřejnilo až po novele zákona o SPD účinné od 1. 1. 2015. </w:t>
      </w:r>
    </w:p>
    <w:p w14:paraId="3AF10583" w14:textId="77777777" w:rsidR="00FE0D39" w:rsidRPr="00E208AE" w:rsidRDefault="00FE0D39" w:rsidP="00FE0D39">
      <w:pPr>
        <w:pStyle w:val="Default"/>
        <w:jc w:val="both"/>
        <w:rPr>
          <w:rFonts w:ascii="Arial" w:hAnsi="Arial" w:cs="Arial"/>
          <w:i/>
          <w:color w:val="auto"/>
          <w:sz w:val="22"/>
          <w:szCs w:val="22"/>
        </w:rPr>
      </w:pPr>
      <w:r w:rsidRPr="00E208AE">
        <w:rPr>
          <w:rFonts w:ascii="Arial" w:hAnsi="Arial" w:cs="Arial"/>
          <w:i/>
          <w:color w:val="auto"/>
          <w:sz w:val="22"/>
          <w:szCs w:val="22"/>
        </w:rPr>
        <w:t>GŘC provozuje řadu informačních systémů (dále také „IS“), avšak daňové subjekty jsou v</w:t>
      </w:r>
      <w:r w:rsidR="001B4593">
        <w:rPr>
          <w:rFonts w:ascii="Arial" w:hAnsi="Arial" w:cs="Arial"/>
          <w:i/>
          <w:color w:val="auto"/>
          <w:sz w:val="22"/>
          <w:szCs w:val="22"/>
        </w:rPr>
        <w:t> </w:t>
      </w:r>
      <w:r w:rsidRPr="00E208AE">
        <w:rPr>
          <w:rFonts w:ascii="Arial" w:hAnsi="Arial" w:cs="Arial"/>
          <w:i/>
          <w:color w:val="auto"/>
          <w:sz w:val="22"/>
          <w:szCs w:val="22"/>
        </w:rPr>
        <w:t xml:space="preserve">nich vedeny pod různými identifikátory, což značně ztěžuje jejich identifikaci. GŘC neupravilo ani popisy databází a číselníky s ohledem na hodnoty uváděné v polích databází, takže jsou tato data obtížně využitelná (např. při zpracování analýzy rizik). </w:t>
      </w:r>
    </w:p>
    <w:p w14:paraId="4B6D3BCB" w14:textId="77777777" w:rsidR="00FE0D39" w:rsidRPr="00E208AE" w:rsidRDefault="00FE0D39" w:rsidP="00FE0D39">
      <w:pPr>
        <w:pStyle w:val="Default"/>
        <w:jc w:val="both"/>
        <w:rPr>
          <w:rFonts w:ascii="Arial" w:hAnsi="Arial" w:cs="Arial"/>
          <w:i/>
          <w:color w:val="auto"/>
          <w:sz w:val="22"/>
          <w:szCs w:val="22"/>
        </w:rPr>
      </w:pPr>
      <w:r w:rsidRPr="00E208AE">
        <w:rPr>
          <w:rFonts w:ascii="Arial" w:hAnsi="Arial" w:cs="Arial"/>
          <w:i/>
          <w:color w:val="auto"/>
          <w:sz w:val="22"/>
          <w:szCs w:val="22"/>
        </w:rPr>
        <w:t>Celní orgány vedou doklady v elektronické spisové službě. V případech, kdy je CÚ správce daně odlišný od CÚ, v jehož obvodu je umístěn daňový sklad, mají CÚ přístup pouze k</w:t>
      </w:r>
      <w:r w:rsidR="001B4593">
        <w:rPr>
          <w:rFonts w:ascii="Arial" w:hAnsi="Arial" w:cs="Arial"/>
          <w:i/>
          <w:color w:val="auto"/>
          <w:sz w:val="22"/>
          <w:szCs w:val="22"/>
        </w:rPr>
        <w:t> </w:t>
      </w:r>
      <w:r w:rsidRPr="00E208AE">
        <w:rPr>
          <w:rFonts w:ascii="Arial" w:hAnsi="Arial" w:cs="Arial"/>
          <w:i/>
          <w:color w:val="auto"/>
          <w:sz w:val="22"/>
          <w:szCs w:val="22"/>
        </w:rPr>
        <w:t xml:space="preserve">vlastním dokladům. Existuje proto potenciální riziko, že CÚ správce daně nebude mít kompletní daňový spis. </w:t>
      </w:r>
    </w:p>
    <w:p w14:paraId="389BC658" w14:textId="77777777" w:rsidR="00FE0D39" w:rsidRPr="00E208AE" w:rsidRDefault="00FE0D39" w:rsidP="00FE0D39">
      <w:pPr>
        <w:pStyle w:val="Default"/>
        <w:jc w:val="both"/>
        <w:rPr>
          <w:rFonts w:ascii="Arial" w:hAnsi="Arial" w:cs="Arial"/>
          <w:i/>
          <w:color w:val="auto"/>
          <w:sz w:val="22"/>
          <w:szCs w:val="22"/>
        </w:rPr>
      </w:pPr>
      <w:r w:rsidRPr="00E208AE">
        <w:rPr>
          <w:rFonts w:ascii="Arial" w:hAnsi="Arial" w:cs="Arial"/>
          <w:i/>
          <w:color w:val="auto"/>
          <w:sz w:val="22"/>
          <w:szCs w:val="22"/>
        </w:rPr>
        <w:t xml:space="preserve">Údaje o kontrolní činnosti a jejích výsledcích vede CS ČR </w:t>
      </w:r>
      <w:r w:rsidR="00C801C5" w:rsidRPr="00E208AE">
        <w:rPr>
          <w:rFonts w:ascii="Arial" w:hAnsi="Arial" w:cs="Arial"/>
          <w:i/>
          <w:color w:val="auto"/>
          <w:sz w:val="22"/>
          <w:szCs w:val="22"/>
        </w:rPr>
        <w:t xml:space="preserve">(Celní správa České republiky) </w:t>
      </w:r>
      <w:r w:rsidRPr="00E208AE">
        <w:rPr>
          <w:rFonts w:ascii="Arial" w:hAnsi="Arial" w:cs="Arial"/>
          <w:i/>
          <w:color w:val="auto"/>
          <w:sz w:val="22"/>
          <w:szCs w:val="22"/>
        </w:rPr>
        <w:t>v</w:t>
      </w:r>
      <w:r w:rsidR="001B4593">
        <w:rPr>
          <w:rFonts w:ascii="Arial" w:hAnsi="Arial" w:cs="Arial"/>
          <w:i/>
          <w:color w:val="auto"/>
          <w:sz w:val="22"/>
          <w:szCs w:val="22"/>
        </w:rPr>
        <w:t> </w:t>
      </w:r>
      <w:r w:rsidRPr="00E208AE">
        <w:rPr>
          <w:rFonts w:ascii="Arial" w:hAnsi="Arial" w:cs="Arial"/>
          <w:i/>
          <w:color w:val="auto"/>
          <w:sz w:val="22"/>
          <w:szCs w:val="22"/>
        </w:rPr>
        <w:t xml:space="preserve">sedmi aplikacích, které nejsou propojeny, a v řadě případů musí zaměstnanci CS ČR zadávat stejný údaj do několika IS. GŘC pro získání relevantních údajů pro vypracování analýz požadovalo po CÚ vyplnit údaje do dalších tabulek, jím definovaných. </w:t>
      </w:r>
    </w:p>
    <w:p w14:paraId="4B14F183" w14:textId="77777777" w:rsidR="00FE0D39" w:rsidRPr="00E208AE" w:rsidRDefault="00FE0D39" w:rsidP="00FE0D39">
      <w:pPr>
        <w:pStyle w:val="Default"/>
        <w:jc w:val="both"/>
        <w:rPr>
          <w:rFonts w:ascii="Arial" w:hAnsi="Arial" w:cs="Arial"/>
          <w:i/>
          <w:color w:val="auto"/>
          <w:sz w:val="22"/>
          <w:szCs w:val="22"/>
        </w:rPr>
      </w:pPr>
      <w:r w:rsidRPr="00E208AE">
        <w:rPr>
          <w:rFonts w:ascii="Arial" w:hAnsi="Arial" w:cs="Arial"/>
          <w:i/>
          <w:color w:val="auto"/>
          <w:sz w:val="22"/>
          <w:szCs w:val="22"/>
        </w:rPr>
        <w:t>NKÚ nepovažuje takové využívání IS pro správu SPD za efektivní a hospodárné.</w:t>
      </w:r>
      <w:r w:rsidR="00400E58">
        <w:rPr>
          <w:rFonts w:ascii="Arial" w:hAnsi="Arial" w:cs="Arial"/>
          <w:i/>
          <w:color w:val="auto"/>
          <w:sz w:val="22"/>
          <w:szCs w:val="22"/>
        </w:rPr>
        <w:t>“</w:t>
      </w:r>
    </w:p>
    <w:p w14:paraId="7D821CBB" w14:textId="77777777" w:rsidR="00B15ABE" w:rsidRDefault="00B15ABE" w:rsidP="00C126A0">
      <w:pPr>
        <w:autoSpaceDE w:val="0"/>
        <w:autoSpaceDN w:val="0"/>
        <w:adjustRightInd w:val="0"/>
        <w:jc w:val="both"/>
        <w:outlineLvl w:val="0"/>
        <w:rPr>
          <w:rFonts w:ascii="Arial" w:hAnsi="Arial" w:cs="Arial"/>
          <w:b/>
          <w:noProof/>
          <w:sz w:val="22"/>
          <w:szCs w:val="22"/>
        </w:rPr>
      </w:pPr>
    </w:p>
    <w:p w14:paraId="03953297" w14:textId="77777777" w:rsidR="00577E2B" w:rsidRPr="00400E58" w:rsidRDefault="00577E2B" w:rsidP="00577E2B">
      <w:pPr>
        <w:autoSpaceDE w:val="0"/>
        <w:autoSpaceDN w:val="0"/>
        <w:adjustRightInd w:val="0"/>
        <w:jc w:val="both"/>
        <w:outlineLvl w:val="0"/>
        <w:rPr>
          <w:rFonts w:ascii="Arial" w:hAnsi="Arial" w:cs="Arial"/>
          <w:sz w:val="22"/>
          <w:szCs w:val="22"/>
        </w:rPr>
      </w:pPr>
      <w:r w:rsidRPr="00400E58">
        <w:rPr>
          <w:rFonts w:ascii="Arial" w:hAnsi="Arial" w:cs="Arial"/>
          <w:bCs/>
          <w:iCs/>
          <w:sz w:val="22"/>
          <w:szCs w:val="22"/>
          <w:u w:val="single"/>
        </w:rPr>
        <w:t>Stanovisko:</w:t>
      </w:r>
    </w:p>
    <w:p w14:paraId="0DC279B0" w14:textId="7F3EB783" w:rsidR="00577E2B" w:rsidRPr="00400E58" w:rsidRDefault="000022D1" w:rsidP="00577E2B">
      <w:pPr>
        <w:jc w:val="both"/>
        <w:rPr>
          <w:rFonts w:ascii="Arial" w:hAnsi="Arial" w:cs="Arial"/>
          <w:sz w:val="22"/>
          <w:szCs w:val="22"/>
        </w:rPr>
      </w:pPr>
      <w:r>
        <w:rPr>
          <w:rFonts w:ascii="Arial" w:hAnsi="Arial" w:cs="Arial"/>
          <w:sz w:val="22"/>
          <w:szCs w:val="22"/>
        </w:rPr>
        <w:t>Konstatování NKÚ k oblasti sdílení dat se týká období let 2012 – 2014. Od 1.</w:t>
      </w:r>
      <w:r w:rsidR="00185147">
        <w:rPr>
          <w:rFonts w:ascii="Arial" w:hAnsi="Arial" w:cs="Arial"/>
          <w:sz w:val="22"/>
          <w:szCs w:val="22"/>
        </w:rPr>
        <w:t xml:space="preserve"> </w:t>
      </w:r>
      <w:r>
        <w:rPr>
          <w:rFonts w:ascii="Arial" w:hAnsi="Arial" w:cs="Arial"/>
          <w:sz w:val="22"/>
          <w:szCs w:val="22"/>
        </w:rPr>
        <w:t>1.</w:t>
      </w:r>
      <w:r w:rsidR="00185147">
        <w:rPr>
          <w:rFonts w:ascii="Arial" w:hAnsi="Arial" w:cs="Arial"/>
          <w:sz w:val="22"/>
          <w:szCs w:val="22"/>
        </w:rPr>
        <w:t xml:space="preserve"> </w:t>
      </w:r>
      <w:r>
        <w:rPr>
          <w:rFonts w:ascii="Arial" w:hAnsi="Arial" w:cs="Arial"/>
          <w:sz w:val="22"/>
          <w:szCs w:val="22"/>
        </w:rPr>
        <w:t>2015 byla přijata opatření, na zákl</w:t>
      </w:r>
      <w:r w:rsidR="00185147">
        <w:rPr>
          <w:rFonts w:ascii="Arial" w:hAnsi="Arial" w:cs="Arial"/>
          <w:sz w:val="22"/>
          <w:szCs w:val="22"/>
        </w:rPr>
        <w:t>a</w:t>
      </w:r>
      <w:r>
        <w:rPr>
          <w:rFonts w:ascii="Arial" w:hAnsi="Arial" w:cs="Arial"/>
          <w:sz w:val="22"/>
          <w:szCs w:val="22"/>
        </w:rPr>
        <w:t xml:space="preserve">dě </w:t>
      </w:r>
      <w:r w:rsidR="00185147">
        <w:rPr>
          <w:rFonts w:ascii="Arial" w:hAnsi="Arial" w:cs="Arial"/>
          <w:sz w:val="22"/>
          <w:szCs w:val="22"/>
        </w:rPr>
        <w:t xml:space="preserve">kterých má </w:t>
      </w:r>
      <w:r w:rsidR="00C910FF">
        <w:rPr>
          <w:rFonts w:ascii="Arial" w:hAnsi="Arial" w:cs="Arial"/>
          <w:sz w:val="22"/>
          <w:szCs w:val="22"/>
        </w:rPr>
        <w:t>C</w:t>
      </w:r>
      <w:r w:rsidR="00185147" w:rsidRPr="00C910FF">
        <w:rPr>
          <w:rFonts w:ascii="Arial" w:hAnsi="Arial" w:cs="Arial"/>
          <w:sz w:val="22"/>
          <w:szCs w:val="22"/>
        </w:rPr>
        <w:t>elní správa ČR</w:t>
      </w:r>
      <w:r w:rsidR="00185147">
        <w:rPr>
          <w:rFonts w:ascii="Arial" w:hAnsi="Arial" w:cs="Arial"/>
          <w:sz w:val="22"/>
          <w:szCs w:val="22"/>
        </w:rPr>
        <w:t xml:space="preserve"> dostatek informací pro účinný a</w:t>
      </w:r>
      <w:r w:rsidR="00C910FF">
        <w:rPr>
          <w:rFonts w:ascii="Arial" w:hAnsi="Arial" w:cs="Arial"/>
          <w:sz w:val="22"/>
          <w:szCs w:val="22"/>
        </w:rPr>
        <w:t> </w:t>
      </w:r>
      <w:r w:rsidR="00185147">
        <w:rPr>
          <w:rFonts w:ascii="Arial" w:hAnsi="Arial" w:cs="Arial"/>
          <w:sz w:val="22"/>
          <w:szCs w:val="22"/>
        </w:rPr>
        <w:t xml:space="preserve"> efektivní dohled nad daňovými subjekty.</w:t>
      </w:r>
      <w:r w:rsidR="00577E2B" w:rsidRPr="00400E58">
        <w:rPr>
          <w:rFonts w:ascii="Arial" w:hAnsi="Arial" w:cs="Arial"/>
          <w:sz w:val="22"/>
          <w:szCs w:val="22"/>
        </w:rPr>
        <w:t xml:space="preserve"> Daňovým subjektům právní předpisy ukládají povinnost vedení evidencí. Způsob vedení jednotlivých evidencí upravují tyto jednotlivé předpisy. Pracovníci správce daně vedení evidencí (průkaznost, správnost, včasnost, atd.) průběžně kontrolují (kontrolovali) a v případě, že byly zjištěny pochybnosti, byla přijata příslušná opatření, včetně odnětí příslušného povolení vydávaného dle zákona o SPD. Pozna</w:t>
      </w:r>
      <w:r w:rsidR="005448B7">
        <w:rPr>
          <w:rFonts w:ascii="Arial" w:hAnsi="Arial" w:cs="Arial"/>
          <w:sz w:val="22"/>
          <w:szCs w:val="22"/>
        </w:rPr>
        <w:t>tek, který NKÚ uvedl, se týkal</w:t>
      </w:r>
      <w:r w:rsidR="00577E2B" w:rsidRPr="00400E58">
        <w:rPr>
          <w:rFonts w:ascii="Arial" w:hAnsi="Arial" w:cs="Arial"/>
          <w:sz w:val="22"/>
          <w:szCs w:val="22"/>
        </w:rPr>
        <w:t xml:space="preserve"> jednorázového zpracování a vyhodnocení záznamních povinností útvarem analýzy (odbor 60 GŘC), uložených daňovým subjektům správci daně. V rámci vyhodnocení těchto podkladů odbor 60 Analýzy a informační podpory GŘC konstatuje, že data nejsou uspořádána v jednotné formě (formátu) a provedení analýzy způsobilo to</w:t>
      </w:r>
      <w:r w:rsidR="00497BB9">
        <w:rPr>
          <w:rFonts w:ascii="Arial" w:hAnsi="Arial" w:cs="Arial"/>
          <w:sz w:val="22"/>
          <w:szCs w:val="22"/>
        </w:rPr>
        <w:t>muto útvaru časovou náročnost.</w:t>
      </w:r>
    </w:p>
    <w:p w14:paraId="78C31C91" w14:textId="77777777" w:rsidR="00577E2B" w:rsidRPr="00400E58" w:rsidRDefault="00577E2B" w:rsidP="00577E2B">
      <w:pPr>
        <w:jc w:val="both"/>
        <w:rPr>
          <w:rFonts w:ascii="Arial" w:hAnsi="Arial" w:cs="Arial"/>
          <w:sz w:val="22"/>
          <w:szCs w:val="22"/>
        </w:rPr>
      </w:pPr>
      <w:r w:rsidRPr="00400E58">
        <w:rPr>
          <w:rFonts w:ascii="Arial" w:hAnsi="Arial" w:cs="Arial"/>
          <w:sz w:val="22"/>
          <w:szCs w:val="22"/>
        </w:rPr>
        <w:t>GŘC souhlasí s tvrzením, že neiniciovalo celní ředitelství a celní úřady k uložení povinností daňovým subjektům ohledně vedení a předávání evidencí celním orgánům. Toto tvrzení NKÚ se však dále opět nevypořádalo s otázkou, zda stávající evidence (vedené daňovými subjekty v době ukončení kontroly v roce 2015), které jsou již stanoveny zvláštními právními předpisy, nepostačují k řádné správě daně. V této souvislosti GŘC zastává názor, že rozsah a množství evidencí postačuje k řádné správě daně a stanovování dalších vzorů evidencí a</w:t>
      </w:r>
      <w:r w:rsidR="00B1543A">
        <w:rPr>
          <w:rFonts w:ascii="Arial" w:hAnsi="Arial" w:cs="Arial"/>
          <w:sz w:val="22"/>
          <w:szCs w:val="22"/>
        </w:rPr>
        <w:t> </w:t>
      </w:r>
      <w:r w:rsidRPr="00400E58">
        <w:rPr>
          <w:rFonts w:ascii="Arial" w:hAnsi="Arial" w:cs="Arial"/>
          <w:sz w:val="22"/>
          <w:szCs w:val="22"/>
        </w:rPr>
        <w:t>stanovování povinnosti daňovým subjektům zasílání dalších hlášení je v rozporu s projektem snižování administrativní zátěže podnikatelské veřejnosti.</w:t>
      </w:r>
    </w:p>
    <w:p w14:paraId="702BD963" w14:textId="77777777" w:rsidR="00577E2B" w:rsidRPr="00400E58" w:rsidRDefault="00577E2B" w:rsidP="00577E2B">
      <w:pPr>
        <w:jc w:val="both"/>
        <w:rPr>
          <w:rFonts w:ascii="Arial" w:hAnsi="Arial" w:cs="Arial"/>
          <w:sz w:val="22"/>
          <w:szCs w:val="22"/>
        </w:rPr>
      </w:pPr>
      <w:r w:rsidRPr="00400E58">
        <w:rPr>
          <w:rFonts w:ascii="Arial" w:hAnsi="Arial" w:cs="Arial"/>
          <w:sz w:val="22"/>
          <w:szCs w:val="22"/>
        </w:rPr>
        <w:t>Z hlediska odboru Informatiky GŘC se jedná o aplikace (informační systémy) vyvinuté na základě požadavku odborného útvaru. Každá aplikace je používána na základě jiné legislativy a za jiným účelem. Veškerá data z těchto aplikací se denně předávají do datového skladu, kde jsou využita i pro účely rizikové analýzy.</w:t>
      </w:r>
    </w:p>
    <w:p w14:paraId="5D3FAEC3" w14:textId="77777777" w:rsidR="00577E2B" w:rsidRPr="00400E58" w:rsidRDefault="00577E2B" w:rsidP="00577E2B">
      <w:pPr>
        <w:jc w:val="both"/>
        <w:rPr>
          <w:rFonts w:ascii="Arial" w:hAnsi="Arial" w:cs="Arial"/>
          <w:sz w:val="22"/>
          <w:szCs w:val="22"/>
        </w:rPr>
      </w:pPr>
      <w:r w:rsidRPr="00400E58">
        <w:rPr>
          <w:rFonts w:ascii="Arial" w:hAnsi="Arial" w:cs="Arial"/>
          <w:sz w:val="22"/>
          <w:szCs w:val="22"/>
        </w:rPr>
        <w:t>Současný stav informačních systémů je důsledkem historického vývoje včetně změn organizačního uspořádání CS ČR. Jednotlivé aplikace zpravidla vznikaly pro potřeby konkrétního útvaru (vlastníka procesu), kdy parametry budoucí aplikace byly navrhovány a</w:t>
      </w:r>
      <w:r w:rsidR="00B1543A">
        <w:rPr>
          <w:rFonts w:ascii="Arial" w:hAnsi="Arial" w:cs="Arial"/>
          <w:sz w:val="22"/>
          <w:szCs w:val="22"/>
        </w:rPr>
        <w:t> </w:t>
      </w:r>
      <w:r w:rsidRPr="00400E58">
        <w:rPr>
          <w:rFonts w:ascii="Arial" w:hAnsi="Arial" w:cs="Arial"/>
          <w:sz w:val="22"/>
          <w:szCs w:val="22"/>
        </w:rPr>
        <w:t>zadávány dodavateli v rámci pracovní skupiny ustavené vlastníkem procesu. V průběhu reorganizace CS ČR a přechodu na procesní způsob řízení došlo ke změnám kompetencí útvarů. Přitom byly zahájeny práce na postupném sjednocení dosud nekompatibilní databáze kontrolních činností a evidence porušení předpisů v gesci jednotlivých odborných útvarů tak, aby došlo ke zlepšení dostupnosti a využitelnosti relevantních dat a informací.</w:t>
      </w:r>
    </w:p>
    <w:p w14:paraId="6F205C28" w14:textId="77777777" w:rsidR="00E331F2" w:rsidRPr="00400E58" w:rsidRDefault="00E331F2" w:rsidP="00E331F2">
      <w:pPr>
        <w:jc w:val="both"/>
        <w:rPr>
          <w:rFonts w:ascii="Arial" w:hAnsi="Arial" w:cs="Arial"/>
          <w:sz w:val="22"/>
          <w:szCs w:val="22"/>
        </w:rPr>
      </w:pPr>
      <w:r w:rsidRPr="00400E58">
        <w:rPr>
          <w:rFonts w:ascii="Arial" w:hAnsi="Arial" w:cs="Arial"/>
          <w:sz w:val="22"/>
          <w:szCs w:val="22"/>
        </w:rPr>
        <w:t xml:space="preserve">Od 1. 1. 2015 stanovení jednotného vzoru evidence vedeného dle ustanovení </w:t>
      </w:r>
      <w:r w:rsidRPr="00C22B85">
        <w:rPr>
          <w:rFonts w:ascii="Arial" w:hAnsi="Arial" w:cs="Arial"/>
          <w:sz w:val="22"/>
          <w:szCs w:val="22"/>
        </w:rPr>
        <w:t>§§ 37 – 40 a</w:t>
      </w:r>
      <w:r w:rsidR="00B15ABE" w:rsidRPr="00C22B85">
        <w:rPr>
          <w:rFonts w:ascii="Arial" w:hAnsi="Arial" w:cs="Arial"/>
          <w:sz w:val="22"/>
          <w:szCs w:val="22"/>
        </w:rPr>
        <w:t> </w:t>
      </w:r>
      <w:r w:rsidRPr="00C22B85">
        <w:rPr>
          <w:rFonts w:ascii="Arial" w:hAnsi="Arial" w:cs="Arial"/>
          <w:sz w:val="22"/>
          <w:szCs w:val="22"/>
        </w:rPr>
        <w:t>§</w:t>
      </w:r>
      <w:r w:rsidR="00D125FB">
        <w:rPr>
          <w:rFonts w:ascii="Arial" w:hAnsi="Arial" w:cs="Arial"/>
          <w:sz w:val="22"/>
          <w:szCs w:val="22"/>
        </w:rPr>
        <w:t> </w:t>
      </w:r>
      <w:r w:rsidRPr="00C22B85">
        <w:rPr>
          <w:rFonts w:ascii="Arial" w:hAnsi="Arial" w:cs="Arial"/>
          <w:sz w:val="22"/>
          <w:szCs w:val="22"/>
        </w:rPr>
        <w:t>60</w:t>
      </w:r>
      <w:r w:rsidR="00B15ABE" w:rsidRPr="000F2A8D">
        <w:rPr>
          <w:rFonts w:ascii="Arial" w:hAnsi="Arial" w:cs="Arial"/>
          <w:sz w:val="22"/>
          <w:szCs w:val="22"/>
        </w:rPr>
        <w:t xml:space="preserve"> </w:t>
      </w:r>
      <w:r w:rsidRPr="000F2A8D">
        <w:rPr>
          <w:rFonts w:ascii="Arial" w:hAnsi="Arial" w:cs="Arial"/>
          <w:sz w:val="22"/>
          <w:szCs w:val="22"/>
        </w:rPr>
        <w:t>zákona č. 353/2003 Sb., o spotřebních daních, ve znění pozdějších předpisů</w:t>
      </w:r>
      <w:r w:rsidRPr="00400E58">
        <w:rPr>
          <w:rFonts w:ascii="Arial" w:hAnsi="Arial" w:cs="Arial"/>
          <w:sz w:val="22"/>
          <w:szCs w:val="22"/>
        </w:rPr>
        <w:t>.</w:t>
      </w:r>
    </w:p>
    <w:p w14:paraId="477C6B42" w14:textId="77777777" w:rsidR="00577E2B" w:rsidRDefault="00E331F2" w:rsidP="00E331F2">
      <w:pPr>
        <w:jc w:val="both"/>
        <w:rPr>
          <w:rFonts w:ascii="Arial" w:hAnsi="Arial" w:cs="Arial"/>
          <w:sz w:val="22"/>
          <w:szCs w:val="22"/>
        </w:rPr>
      </w:pPr>
      <w:r w:rsidRPr="00400E58">
        <w:rPr>
          <w:rFonts w:ascii="Arial" w:hAnsi="Arial" w:cs="Arial"/>
          <w:sz w:val="22"/>
          <w:szCs w:val="22"/>
        </w:rPr>
        <w:t>V současné době jsou veškeré části používaných informačních systémů používaných CS ČR integrovány v Datovém skladu. Provázání jednotlivých aplikací již proběhlo, aplikace Mobilní dohled, Hlásná služba, Evidence porušení předpisů již jsou upraveny a mají propojeny datové báze.</w:t>
      </w:r>
    </w:p>
    <w:p w14:paraId="0B2B9F38" w14:textId="77777777" w:rsidR="00577E2B" w:rsidRPr="00400E58" w:rsidRDefault="00577E2B" w:rsidP="00577E2B">
      <w:pPr>
        <w:autoSpaceDE w:val="0"/>
        <w:autoSpaceDN w:val="0"/>
        <w:adjustRightInd w:val="0"/>
        <w:jc w:val="both"/>
        <w:rPr>
          <w:rFonts w:ascii="Arial" w:eastAsia="Calibri" w:hAnsi="Arial" w:cs="Arial"/>
          <w:sz w:val="22"/>
          <w:szCs w:val="22"/>
        </w:rPr>
      </w:pPr>
      <w:r w:rsidRPr="00400E58">
        <w:rPr>
          <w:rFonts w:ascii="Arial" w:hAnsi="Arial" w:cs="Arial"/>
          <w:sz w:val="22"/>
          <w:szCs w:val="22"/>
          <w:u w:val="single"/>
        </w:rPr>
        <w:lastRenderedPageBreak/>
        <w:t>Opatření</w:t>
      </w:r>
      <w:r w:rsidR="00B15ABE">
        <w:rPr>
          <w:rFonts w:ascii="Arial" w:hAnsi="Arial" w:cs="Arial"/>
          <w:sz w:val="22"/>
          <w:szCs w:val="22"/>
          <w:u w:val="single"/>
        </w:rPr>
        <w:t xml:space="preserve"> č. 1</w:t>
      </w:r>
      <w:r w:rsidRPr="00400E58">
        <w:rPr>
          <w:rFonts w:ascii="Arial" w:hAnsi="Arial" w:cs="Arial"/>
          <w:sz w:val="22"/>
          <w:szCs w:val="22"/>
          <w:u w:val="single"/>
        </w:rPr>
        <w:t>:</w:t>
      </w:r>
    </w:p>
    <w:p w14:paraId="2387CB76" w14:textId="77777777" w:rsidR="00577E2B" w:rsidRPr="00400E58" w:rsidRDefault="00577E2B" w:rsidP="00577E2B">
      <w:pPr>
        <w:jc w:val="both"/>
        <w:rPr>
          <w:rFonts w:ascii="Arial" w:hAnsi="Arial" w:cs="Arial"/>
          <w:sz w:val="22"/>
          <w:szCs w:val="22"/>
        </w:rPr>
      </w:pPr>
      <w:r w:rsidRPr="00400E58">
        <w:rPr>
          <w:rFonts w:ascii="Arial" w:hAnsi="Arial" w:cs="Arial"/>
          <w:sz w:val="22"/>
          <w:szCs w:val="22"/>
        </w:rPr>
        <w:t xml:space="preserve">Od 1. 1. 2016 bude sjednocen zápis místních šetření agendou daní do aplikace Mobilní dohled namísto aplikace SPR (odstranění duplicit). K 1. 1. 2016 budou dokončeny práce na tvorbě Katalogu rizik CS ČR, zahrnujícím jak výkonná, tak i vnitřní rizika. Integrace dat by měla proběhnout na úrovni číselníků (dimenzí) IS ČR, kdy v případě rizik by řídící strukturou měl být Katalog rizik. V současné době je pro potřeby správy SPD již plně funkční nově zavedená aplikace </w:t>
      </w:r>
      <w:proofErr w:type="spellStart"/>
      <w:r w:rsidRPr="00400E58">
        <w:rPr>
          <w:rFonts w:ascii="Arial" w:hAnsi="Arial" w:cs="Arial"/>
          <w:sz w:val="22"/>
          <w:szCs w:val="22"/>
        </w:rPr>
        <w:t>RiskDS</w:t>
      </w:r>
      <w:proofErr w:type="spellEnd"/>
      <w:r w:rsidRPr="00400E58">
        <w:rPr>
          <w:rFonts w:ascii="Arial" w:hAnsi="Arial" w:cs="Arial"/>
          <w:sz w:val="22"/>
          <w:szCs w:val="22"/>
        </w:rPr>
        <w:t xml:space="preserve"> (Rizikovost daňových subjektů), která slouží pro hodnocení daňových subjektů z hlediska rizikových indikátorů a rizikového chování s cílem efektivně předpovídat a následně eliminovat případný vznik daňových úniků. Aplikace zahrnuje informace o subjektu ze všech aplikací IS CS týkajících se oblasti spotřebních a</w:t>
      </w:r>
      <w:r w:rsidR="00B1543A">
        <w:rPr>
          <w:rFonts w:ascii="Arial" w:hAnsi="Arial" w:cs="Arial"/>
          <w:sz w:val="22"/>
          <w:szCs w:val="22"/>
        </w:rPr>
        <w:t> </w:t>
      </w:r>
      <w:r w:rsidRPr="00400E58">
        <w:rPr>
          <w:rFonts w:ascii="Arial" w:hAnsi="Arial" w:cs="Arial"/>
          <w:sz w:val="22"/>
          <w:szCs w:val="22"/>
        </w:rPr>
        <w:t>ekologických daní.</w:t>
      </w:r>
    </w:p>
    <w:p w14:paraId="2B953679" w14:textId="77777777" w:rsidR="00B15ABE" w:rsidRDefault="00B15ABE" w:rsidP="00577E2B">
      <w:pPr>
        <w:ind w:right="-70"/>
        <w:jc w:val="both"/>
        <w:rPr>
          <w:rFonts w:ascii="Arial" w:hAnsi="Arial" w:cs="Arial"/>
          <w:bCs/>
          <w:iCs/>
          <w:sz w:val="22"/>
          <w:szCs w:val="22"/>
          <w:u w:val="single"/>
        </w:rPr>
      </w:pPr>
    </w:p>
    <w:p w14:paraId="16579A2C" w14:textId="77777777" w:rsidR="00B15ABE" w:rsidRDefault="00B15ABE" w:rsidP="00577E2B">
      <w:pPr>
        <w:ind w:right="-70"/>
        <w:jc w:val="both"/>
        <w:rPr>
          <w:rFonts w:ascii="Arial" w:hAnsi="Arial" w:cs="Arial"/>
          <w:sz w:val="22"/>
          <w:szCs w:val="22"/>
        </w:rPr>
      </w:pPr>
      <w:r w:rsidRPr="00497BB9">
        <w:rPr>
          <w:rFonts w:ascii="Arial" w:hAnsi="Arial" w:cs="Arial"/>
          <w:bCs/>
          <w:iCs/>
          <w:sz w:val="22"/>
          <w:szCs w:val="22"/>
          <w:u w:val="single"/>
        </w:rPr>
        <w:t>Termín:</w:t>
      </w:r>
      <w:r w:rsidRPr="00497BB9">
        <w:rPr>
          <w:rFonts w:ascii="Arial" w:hAnsi="Arial" w:cs="Arial"/>
          <w:sz w:val="22"/>
          <w:szCs w:val="22"/>
        </w:rPr>
        <w:t xml:space="preserve"> 1. 1. 201</w:t>
      </w:r>
      <w:r>
        <w:rPr>
          <w:rFonts w:ascii="Arial" w:hAnsi="Arial" w:cs="Arial"/>
          <w:sz w:val="22"/>
          <w:szCs w:val="22"/>
        </w:rPr>
        <w:t>6</w:t>
      </w:r>
    </w:p>
    <w:p w14:paraId="39C25823" w14:textId="77777777" w:rsidR="00B15ABE" w:rsidRDefault="00B15ABE" w:rsidP="00B15ABE">
      <w:pPr>
        <w:autoSpaceDE w:val="0"/>
        <w:autoSpaceDN w:val="0"/>
        <w:adjustRightInd w:val="0"/>
        <w:jc w:val="both"/>
        <w:rPr>
          <w:rFonts w:ascii="Arial" w:hAnsi="Arial" w:cs="Arial"/>
          <w:sz w:val="22"/>
          <w:szCs w:val="22"/>
          <w:u w:val="single"/>
        </w:rPr>
      </w:pPr>
    </w:p>
    <w:p w14:paraId="6FBBFB7F" w14:textId="77777777" w:rsidR="00B15ABE" w:rsidRPr="00400E58" w:rsidRDefault="00B15ABE" w:rsidP="00B15ABE">
      <w:pPr>
        <w:autoSpaceDE w:val="0"/>
        <w:autoSpaceDN w:val="0"/>
        <w:adjustRightInd w:val="0"/>
        <w:jc w:val="both"/>
        <w:rPr>
          <w:rFonts w:ascii="Arial" w:eastAsia="Calibri" w:hAnsi="Arial" w:cs="Arial"/>
          <w:sz w:val="22"/>
          <w:szCs w:val="22"/>
        </w:rPr>
      </w:pPr>
      <w:r w:rsidRPr="00400E58">
        <w:rPr>
          <w:rFonts w:ascii="Arial" w:hAnsi="Arial" w:cs="Arial"/>
          <w:sz w:val="22"/>
          <w:szCs w:val="22"/>
          <w:u w:val="single"/>
        </w:rPr>
        <w:t>Opatření</w:t>
      </w:r>
      <w:r>
        <w:rPr>
          <w:rFonts w:ascii="Arial" w:hAnsi="Arial" w:cs="Arial"/>
          <w:sz w:val="22"/>
          <w:szCs w:val="22"/>
          <w:u w:val="single"/>
        </w:rPr>
        <w:t xml:space="preserve"> č. 2</w:t>
      </w:r>
      <w:r w:rsidRPr="00400E58">
        <w:rPr>
          <w:rFonts w:ascii="Arial" w:hAnsi="Arial" w:cs="Arial"/>
          <w:sz w:val="22"/>
          <w:szCs w:val="22"/>
          <w:u w:val="single"/>
        </w:rPr>
        <w:t>:</w:t>
      </w:r>
    </w:p>
    <w:p w14:paraId="19AC2D9A" w14:textId="77777777" w:rsidR="00577E2B" w:rsidRPr="00400E58" w:rsidRDefault="00577E2B" w:rsidP="00577E2B">
      <w:pPr>
        <w:ind w:right="-70"/>
        <w:jc w:val="both"/>
        <w:rPr>
          <w:rFonts w:ascii="Arial" w:hAnsi="Arial" w:cs="Arial"/>
          <w:sz w:val="22"/>
          <w:szCs w:val="22"/>
        </w:rPr>
      </w:pPr>
      <w:r w:rsidRPr="00400E58">
        <w:rPr>
          <w:rFonts w:ascii="Arial" w:hAnsi="Arial" w:cs="Arial"/>
          <w:sz w:val="22"/>
          <w:szCs w:val="22"/>
        </w:rPr>
        <w:t>Rozkazem generálního ředitele č. 62/2015 ze dne 9.</w:t>
      </w:r>
      <w:r w:rsidR="00497BB9">
        <w:rPr>
          <w:rFonts w:ascii="Arial" w:hAnsi="Arial" w:cs="Arial"/>
          <w:sz w:val="22"/>
          <w:szCs w:val="22"/>
        </w:rPr>
        <w:t xml:space="preserve"> </w:t>
      </w:r>
      <w:r w:rsidRPr="00400E58">
        <w:rPr>
          <w:rFonts w:ascii="Arial" w:hAnsi="Arial" w:cs="Arial"/>
          <w:sz w:val="22"/>
          <w:szCs w:val="22"/>
        </w:rPr>
        <w:t>7.</w:t>
      </w:r>
      <w:r w:rsidR="00497BB9">
        <w:rPr>
          <w:rFonts w:ascii="Arial" w:hAnsi="Arial" w:cs="Arial"/>
          <w:sz w:val="22"/>
          <w:szCs w:val="22"/>
        </w:rPr>
        <w:t xml:space="preserve"> </w:t>
      </w:r>
      <w:r w:rsidRPr="00400E58">
        <w:rPr>
          <w:rFonts w:ascii="Arial" w:hAnsi="Arial" w:cs="Arial"/>
          <w:sz w:val="22"/>
          <w:szCs w:val="22"/>
        </w:rPr>
        <w:t>2015 byl vytvořen Projekt „Optimalizace činností a organizační struktury Celní správy ČR“, jehož součástí je stanovení pracovní skupiny (projektového týmu) č. 2 Řízení ICT, které byl uložen úkol optimalizovat informační systémy používané Celní správou ČR.</w:t>
      </w:r>
    </w:p>
    <w:p w14:paraId="7D5E2729" w14:textId="77777777" w:rsidR="00577E2B" w:rsidRPr="00400E58" w:rsidRDefault="00577E2B" w:rsidP="00577E2B">
      <w:pPr>
        <w:jc w:val="both"/>
        <w:rPr>
          <w:rFonts w:ascii="Arial" w:hAnsi="Arial" w:cs="Arial"/>
          <w:sz w:val="22"/>
          <w:szCs w:val="22"/>
        </w:rPr>
      </w:pPr>
    </w:p>
    <w:p w14:paraId="20115545" w14:textId="77777777" w:rsidR="00577E2B" w:rsidRPr="00497BB9" w:rsidRDefault="00144703" w:rsidP="006302FE">
      <w:pPr>
        <w:autoSpaceDE w:val="0"/>
        <w:autoSpaceDN w:val="0"/>
        <w:adjustRightInd w:val="0"/>
        <w:jc w:val="both"/>
        <w:outlineLvl w:val="0"/>
        <w:rPr>
          <w:rFonts w:ascii="Arial" w:hAnsi="Arial" w:cs="Arial"/>
          <w:b/>
          <w:noProof/>
          <w:sz w:val="22"/>
          <w:szCs w:val="22"/>
        </w:rPr>
      </w:pPr>
      <w:r w:rsidRPr="00497BB9">
        <w:rPr>
          <w:rFonts w:ascii="Arial" w:hAnsi="Arial" w:cs="Arial"/>
          <w:bCs/>
          <w:iCs/>
          <w:sz w:val="22"/>
          <w:szCs w:val="22"/>
          <w:u w:val="single"/>
        </w:rPr>
        <w:t>Termín:</w:t>
      </w:r>
      <w:r w:rsidRPr="00497BB9">
        <w:rPr>
          <w:rFonts w:ascii="Arial" w:hAnsi="Arial" w:cs="Arial"/>
          <w:sz w:val="22"/>
          <w:szCs w:val="22"/>
        </w:rPr>
        <w:t xml:space="preserve"> </w:t>
      </w:r>
      <w:r w:rsidR="006302FE" w:rsidRPr="00497BB9">
        <w:rPr>
          <w:rFonts w:ascii="Arial" w:hAnsi="Arial" w:cs="Arial"/>
          <w:sz w:val="22"/>
          <w:szCs w:val="22"/>
        </w:rPr>
        <w:t>31.</w:t>
      </w:r>
      <w:r w:rsidR="00497BB9" w:rsidRPr="00497BB9">
        <w:rPr>
          <w:rFonts w:ascii="Arial" w:hAnsi="Arial" w:cs="Arial"/>
          <w:sz w:val="22"/>
          <w:szCs w:val="22"/>
        </w:rPr>
        <w:t xml:space="preserve"> </w:t>
      </w:r>
      <w:r w:rsidR="006302FE" w:rsidRPr="00497BB9">
        <w:rPr>
          <w:rFonts w:ascii="Arial" w:hAnsi="Arial" w:cs="Arial"/>
          <w:sz w:val="22"/>
          <w:szCs w:val="22"/>
        </w:rPr>
        <w:t>12.</w:t>
      </w:r>
      <w:r w:rsidR="00497BB9" w:rsidRPr="00497BB9">
        <w:rPr>
          <w:rFonts w:ascii="Arial" w:hAnsi="Arial" w:cs="Arial"/>
          <w:sz w:val="22"/>
          <w:szCs w:val="22"/>
        </w:rPr>
        <w:t xml:space="preserve"> </w:t>
      </w:r>
      <w:r w:rsidR="006302FE" w:rsidRPr="00497BB9">
        <w:rPr>
          <w:rFonts w:ascii="Arial" w:hAnsi="Arial" w:cs="Arial"/>
          <w:sz w:val="22"/>
          <w:szCs w:val="22"/>
        </w:rPr>
        <w:t>2016</w:t>
      </w:r>
    </w:p>
    <w:p w14:paraId="5400F7D4" w14:textId="77777777" w:rsidR="00577E2B" w:rsidRDefault="00577E2B" w:rsidP="00C126A0">
      <w:pPr>
        <w:autoSpaceDE w:val="0"/>
        <w:autoSpaceDN w:val="0"/>
        <w:adjustRightInd w:val="0"/>
        <w:jc w:val="both"/>
        <w:outlineLvl w:val="0"/>
        <w:rPr>
          <w:rFonts w:ascii="Arial" w:hAnsi="Arial" w:cs="Arial"/>
          <w:b/>
          <w:noProof/>
          <w:sz w:val="22"/>
          <w:szCs w:val="22"/>
        </w:rPr>
      </w:pPr>
    </w:p>
    <w:p w14:paraId="44306FF5" w14:textId="77777777" w:rsidR="001C1916" w:rsidRPr="00497BB9" w:rsidRDefault="001C1916" w:rsidP="00C126A0">
      <w:pPr>
        <w:autoSpaceDE w:val="0"/>
        <w:autoSpaceDN w:val="0"/>
        <w:adjustRightInd w:val="0"/>
        <w:jc w:val="both"/>
        <w:outlineLvl w:val="0"/>
        <w:rPr>
          <w:rFonts w:ascii="Arial" w:hAnsi="Arial" w:cs="Arial"/>
          <w:b/>
          <w:noProof/>
          <w:sz w:val="22"/>
          <w:szCs w:val="22"/>
        </w:rPr>
      </w:pPr>
    </w:p>
    <w:p w14:paraId="1143F215" w14:textId="77777777" w:rsidR="00FE0D39" w:rsidRDefault="006302FE" w:rsidP="00FE0D39">
      <w:pPr>
        <w:pStyle w:val="Default"/>
        <w:jc w:val="both"/>
        <w:rPr>
          <w:rFonts w:ascii="Arial" w:hAnsi="Arial" w:cs="Arial"/>
          <w:b/>
          <w:bCs/>
          <w:color w:val="auto"/>
          <w:sz w:val="22"/>
          <w:szCs w:val="22"/>
        </w:rPr>
      </w:pPr>
      <w:r>
        <w:rPr>
          <w:rFonts w:ascii="Arial" w:hAnsi="Arial" w:cs="Arial"/>
          <w:b/>
          <w:bCs/>
          <w:color w:val="auto"/>
          <w:sz w:val="22"/>
          <w:szCs w:val="22"/>
        </w:rPr>
        <w:t>Bod 1 b)</w:t>
      </w:r>
      <w:r w:rsidR="00FE0D39" w:rsidRPr="00E208AE">
        <w:rPr>
          <w:rFonts w:ascii="Arial" w:hAnsi="Arial" w:cs="Arial"/>
          <w:b/>
          <w:bCs/>
          <w:color w:val="auto"/>
          <w:sz w:val="22"/>
          <w:szCs w:val="22"/>
        </w:rPr>
        <w:t xml:space="preserve"> Kontrolní pásky</w:t>
      </w:r>
    </w:p>
    <w:p w14:paraId="76AACE91" w14:textId="77777777" w:rsidR="00EA6CAB" w:rsidRDefault="00EA6CAB" w:rsidP="00E208AE">
      <w:pPr>
        <w:pStyle w:val="Default"/>
        <w:jc w:val="both"/>
        <w:rPr>
          <w:rFonts w:ascii="Arial" w:hAnsi="Arial" w:cs="Arial"/>
          <w:i/>
          <w:sz w:val="22"/>
          <w:szCs w:val="22"/>
          <w:u w:val="single"/>
        </w:rPr>
      </w:pPr>
    </w:p>
    <w:p w14:paraId="11C380B2" w14:textId="77777777" w:rsidR="00E208AE" w:rsidRPr="00FE0D39" w:rsidRDefault="00EA6CAB" w:rsidP="00E208AE">
      <w:pPr>
        <w:pStyle w:val="Default"/>
        <w:jc w:val="both"/>
        <w:rPr>
          <w:rFonts w:ascii="Arial" w:hAnsi="Arial" w:cs="Arial"/>
          <w:color w:val="auto"/>
          <w:sz w:val="22"/>
          <w:szCs w:val="22"/>
        </w:rPr>
      </w:pPr>
      <w:r>
        <w:rPr>
          <w:rFonts w:ascii="Arial" w:hAnsi="Arial" w:cs="Arial"/>
          <w:i/>
          <w:sz w:val="22"/>
          <w:szCs w:val="22"/>
          <w:u w:val="single"/>
        </w:rPr>
        <w:t>Zjištění NKÚ</w:t>
      </w:r>
      <w:r w:rsidR="00E208AE" w:rsidRPr="00E208AE">
        <w:rPr>
          <w:rFonts w:ascii="Arial" w:hAnsi="Arial" w:cs="Arial"/>
          <w:i/>
          <w:sz w:val="22"/>
          <w:szCs w:val="22"/>
          <w:u w:val="single"/>
        </w:rPr>
        <w:t>:</w:t>
      </w:r>
    </w:p>
    <w:p w14:paraId="142CF56C" w14:textId="77777777" w:rsidR="00FE0D39" w:rsidRPr="00EA6CAB" w:rsidRDefault="00497BB9" w:rsidP="00FE0D39">
      <w:pPr>
        <w:pStyle w:val="Default"/>
        <w:jc w:val="both"/>
        <w:rPr>
          <w:rFonts w:ascii="Arial" w:hAnsi="Arial" w:cs="Arial"/>
          <w:i/>
          <w:color w:val="auto"/>
          <w:sz w:val="22"/>
          <w:szCs w:val="22"/>
        </w:rPr>
      </w:pPr>
      <w:r>
        <w:rPr>
          <w:rFonts w:ascii="Arial" w:hAnsi="Arial" w:cs="Arial"/>
          <w:i/>
          <w:color w:val="auto"/>
          <w:sz w:val="22"/>
          <w:szCs w:val="22"/>
        </w:rPr>
        <w:t>„</w:t>
      </w:r>
      <w:r w:rsidR="00FE0D39" w:rsidRPr="00EA6CAB">
        <w:rPr>
          <w:rFonts w:ascii="Arial" w:hAnsi="Arial" w:cs="Arial"/>
          <w:i/>
          <w:color w:val="auto"/>
          <w:sz w:val="22"/>
          <w:szCs w:val="22"/>
        </w:rPr>
        <w:t>Od 1. července 2005 byla zákonem č. 676/2004 Sb. stanovena povinnost značení lihu ve spotřebitelském balení kontrolní páskou s cílem efektivní kontroly a zabezpečení prodeje kvalitního lihu. NKÚ zjistil, že kontrolní páska neumožňovala sledování lihových bilancí a</w:t>
      </w:r>
      <w:r w:rsidR="001B4593">
        <w:rPr>
          <w:rFonts w:ascii="Arial" w:hAnsi="Arial" w:cs="Arial"/>
          <w:i/>
          <w:color w:val="auto"/>
          <w:sz w:val="22"/>
          <w:szCs w:val="22"/>
        </w:rPr>
        <w:t> </w:t>
      </w:r>
      <w:r w:rsidR="00FE0D39" w:rsidRPr="00EA6CAB">
        <w:rPr>
          <w:rFonts w:ascii="Arial" w:hAnsi="Arial" w:cs="Arial"/>
          <w:i/>
          <w:color w:val="auto"/>
          <w:sz w:val="22"/>
          <w:szCs w:val="22"/>
        </w:rPr>
        <w:t xml:space="preserve">neumožňovala ani kontrolu nakládání s individuálními kontrolními páskami. </w:t>
      </w:r>
    </w:p>
    <w:p w14:paraId="1BCFF206" w14:textId="77777777" w:rsidR="00FE0D39" w:rsidRPr="00EA6CAB" w:rsidRDefault="00FE0D39" w:rsidP="00FE0D39">
      <w:pPr>
        <w:pStyle w:val="Default"/>
        <w:jc w:val="both"/>
        <w:rPr>
          <w:rFonts w:ascii="Arial" w:hAnsi="Arial" w:cs="Arial"/>
          <w:i/>
          <w:color w:val="auto"/>
          <w:sz w:val="22"/>
          <w:szCs w:val="22"/>
        </w:rPr>
      </w:pPr>
      <w:r w:rsidRPr="00EA6CAB">
        <w:rPr>
          <w:rFonts w:ascii="Arial" w:hAnsi="Arial" w:cs="Arial"/>
          <w:i/>
          <w:color w:val="auto"/>
          <w:sz w:val="22"/>
          <w:szCs w:val="22"/>
        </w:rPr>
        <w:t xml:space="preserve">GŘC navrhovalo minimálně od roku 2005 Ministerstvu financí změnu spočívající ve zpoplatnění kontrolní pásky ve výši SPD. Toto opatření však nebylo zavedeno. </w:t>
      </w:r>
    </w:p>
    <w:p w14:paraId="13849617" w14:textId="77777777" w:rsidR="00FE0D39" w:rsidRPr="00EA6CAB" w:rsidRDefault="00FE0D39" w:rsidP="00FE0D39">
      <w:pPr>
        <w:pStyle w:val="Default"/>
        <w:jc w:val="both"/>
        <w:rPr>
          <w:rFonts w:ascii="Arial" w:hAnsi="Arial" w:cs="Arial"/>
          <w:i/>
          <w:color w:val="auto"/>
          <w:sz w:val="22"/>
          <w:szCs w:val="22"/>
        </w:rPr>
      </w:pPr>
      <w:r w:rsidRPr="00EA6CAB">
        <w:rPr>
          <w:rFonts w:ascii="Arial" w:hAnsi="Arial" w:cs="Arial"/>
          <w:i/>
          <w:color w:val="auto"/>
          <w:sz w:val="22"/>
          <w:szCs w:val="22"/>
        </w:rPr>
        <w:t xml:space="preserve">Ani po zavedení individualizace kontrolních pásek (tj. od 1. 12. 2013) nemůže spotřebitel či správce daně ověřit, zda lihovina není označena kontrolní páskou, která byla nahlášena jako zničená, odcizená nebo ztracená, a zda tedy nedošlo k výrobě lihoviny z nezdaněného lihu neznámého původu. Příčinou je nedostatečná právní úprava, která daňovému subjektu nestanovila povinnost vést evidenci kontrolních pásek dle individuálního kódu. Registr kontrolních pásek vedený dle § 40 zákona č. 307/2013 Sb. tak postrádá smysl a pořízení elektronických čteček individuálního kódu kontrolních pásek bylo z výše uvedených důvodů neefektivní. </w:t>
      </w:r>
    </w:p>
    <w:p w14:paraId="607EB5E3" w14:textId="77777777" w:rsidR="00FE0D39" w:rsidRDefault="00FE0D39" w:rsidP="00FE0D39">
      <w:pPr>
        <w:pStyle w:val="Default"/>
        <w:jc w:val="both"/>
        <w:rPr>
          <w:rFonts w:ascii="Arial" w:hAnsi="Arial" w:cs="Arial"/>
          <w:i/>
          <w:color w:val="auto"/>
          <w:sz w:val="22"/>
          <w:szCs w:val="22"/>
        </w:rPr>
      </w:pPr>
      <w:r w:rsidRPr="00EA6CAB">
        <w:rPr>
          <w:rFonts w:ascii="Arial" w:hAnsi="Arial" w:cs="Arial"/>
          <w:i/>
          <w:color w:val="auto"/>
          <w:sz w:val="22"/>
          <w:szCs w:val="22"/>
        </w:rPr>
        <w:t>Od roku 2005 do března 2015 nebylo podle evidence celních orgánů z několika šarží (objednávek) s celkovým objemem cca 16,5 mil. ks kontrolních pásek použito ani vráceno celním úřadům 3,9 mil. ks kontrolních pásek, přičemž daňové subjekty je vykázaly jako zničené nebo ztracené. Jedná se tedy o kontrolní pásky, které jsou rizikové a mohou být zneužity.</w:t>
      </w:r>
      <w:r w:rsidR="00497BB9">
        <w:rPr>
          <w:rFonts w:ascii="Arial" w:hAnsi="Arial" w:cs="Arial"/>
          <w:i/>
          <w:color w:val="auto"/>
          <w:sz w:val="22"/>
          <w:szCs w:val="22"/>
        </w:rPr>
        <w:t>“</w:t>
      </w:r>
    </w:p>
    <w:p w14:paraId="7814B4E1" w14:textId="77777777" w:rsidR="006302FE" w:rsidRPr="00EA6CAB" w:rsidRDefault="006302FE" w:rsidP="00FE0D39">
      <w:pPr>
        <w:pStyle w:val="Default"/>
        <w:jc w:val="both"/>
        <w:rPr>
          <w:rFonts w:ascii="Arial" w:hAnsi="Arial" w:cs="Arial"/>
          <w:i/>
          <w:color w:val="auto"/>
          <w:sz w:val="22"/>
          <w:szCs w:val="22"/>
        </w:rPr>
      </w:pPr>
    </w:p>
    <w:p w14:paraId="4D6C1FC3" w14:textId="77777777" w:rsidR="006302FE" w:rsidRDefault="006302FE" w:rsidP="006302FE">
      <w:pPr>
        <w:autoSpaceDE w:val="0"/>
        <w:autoSpaceDN w:val="0"/>
        <w:adjustRightInd w:val="0"/>
        <w:jc w:val="both"/>
        <w:outlineLvl w:val="0"/>
        <w:rPr>
          <w:rFonts w:ascii="Arial" w:hAnsi="Arial" w:cs="Arial"/>
          <w:bCs/>
          <w:iCs/>
          <w:sz w:val="22"/>
          <w:szCs w:val="22"/>
          <w:u w:val="single"/>
        </w:rPr>
      </w:pPr>
      <w:r w:rsidRPr="00497BB9">
        <w:rPr>
          <w:rFonts w:ascii="Arial" w:hAnsi="Arial" w:cs="Arial"/>
          <w:bCs/>
          <w:iCs/>
          <w:sz w:val="22"/>
          <w:szCs w:val="22"/>
          <w:u w:val="single"/>
        </w:rPr>
        <w:t>Stanovisko:</w:t>
      </w:r>
    </w:p>
    <w:p w14:paraId="480B57C7" w14:textId="77777777" w:rsidR="00361486" w:rsidRPr="00C43C5B" w:rsidRDefault="00361486" w:rsidP="00361486">
      <w:pPr>
        <w:autoSpaceDE w:val="0"/>
        <w:autoSpaceDN w:val="0"/>
        <w:adjustRightInd w:val="0"/>
        <w:jc w:val="both"/>
        <w:outlineLvl w:val="0"/>
        <w:rPr>
          <w:rFonts w:ascii="Arial" w:hAnsi="Arial" w:cs="Arial"/>
          <w:sz w:val="22"/>
          <w:szCs w:val="22"/>
        </w:rPr>
      </w:pPr>
      <w:r w:rsidRPr="00C43C5B">
        <w:rPr>
          <w:rFonts w:ascii="Arial" w:hAnsi="Arial" w:cs="Arial"/>
          <w:sz w:val="22"/>
          <w:szCs w:val="22"/>
        </w:rPr>
        <w:t xml:space="preserve">Zjištění NKÚ v tomto bodě do značné míry směšují stav za právní úpravy zákona č. 676/2004 Sb., který byl platný a účinný do konce listopadu 2013, a stav za právní úpravy současného zákona č. 307/2013 Sb., o povinném značení lihu, ve znění pozdějších předpisů (dále jen „zákon o povinném značení lihu“). Změna právní úpravy přitom do problematiky povinného značení lihu přinesla zásadní právní odlišnosti. </w:t>
      </w:r>
    </w:p>
    <w:p w14:paraId="76334242" w14:textId="77777777" w:rsidR="00361486" w:rsidRPr="00C43C5B" w:rsidRDefault="00361486" w:rsidP="00361486">
      <w:pPr>
        <w:autoSpaceDE w:val="0"/>
        <w:autoSpaceDN w:val="0"/>
        <w:adjustRightInd w:val="0"/>
        <w:jc w:val="both"/>
        <w:outlineLvl w:val="0"/>
        <w:rPr>
          <w:rFonts w:ascii="Arial" w:hAnsi="Arial" w:cs="Arial"/>
          <w:sz w:val="22"/>
          <w:szCs w:val="22"/>
        </w:rPr>
      </w:pPr>
      <w:r w:rsidRPr="00C43C5B">
        <w:rPr>
          <w:rFonts w:ascii="Arial" w:hAnsi="Arial" w:cs="Arial"/>
          <w:sz w:val="22"/>
          <w:szCs w:val="22"/>
        </w:rPr>
        <w:t xml:space="preserve">Zákon o povinném značení lihu upravuje značení lihu kontrolní páskou pro účely správy spotřební daně z lihu. Primárním účelem tohoto značení je tak plnit roli tzv. kontrolního daňového značení. Podpůrně sice toto značení napomáhá i dosažení jiných cílů, zejména </w:t>
      </w:r>
      <w:r w:rsidRPr="00C43C5B">
        <w:rPr>
          <w:rFonts w:ascii="Arial" w:hAnsi="Arial" w:cs="Arial"/>
          <w:sz w:val="22"/>
          <w:szCs w:val="22"/>
        </w:rPr>
        <w:lastRenderedPageBreak/>
        <w:t>toho, aby byl líh uváděn na trh v souladu s právními předpisy a aby byl chráněn spotřebitel před lihem nelegálního původu, zároveň je však třeba zdůraznit, že není cílem povinného značení garantovat nezávadnost a kvalitu lihu uváděného na trh z pohledu zdravotního a</w:t>
      </w:r>
      <w:r w:rsidR="00D125FB">
        <w:rPr>
          <w:rFonts w:ascii="Arial" w:hAnsi="Arial" w:cs="Arial"/>
          <w:sz w:val="22"/>
          <w:szCs w:val="22"/>
        </w:rPr>
        <w:t> </w:t>
      </w:r>
      <w:r w:rsidRPr="00C43C5B">
        <w:rPr>
          <w:rFonts w:ascii="Arial" w:hAnsi="Arial" w:cs="Arial"/>
          <w:sz w:val="22"/>
          <w:szCs w:val="22"/>
        </w:rPr>
        <w:t>potravinářského. Orgány celní správy současně nejsou orgánem příslušným ke kontrole kvality a nezávadnosti potravin.</w:t>
      </w:r>
    </w:p>
    <w:p w14:paraId="2781DD6E" w14:textId="49E9B5B4" w:rsidR="00361486" w:rsidRPr="00C43C5B" w:rsidRDefault="00361486" w:rsidP="00361486">
      <w:pPr>
        <w:autoSpaceDE w:val="0"/>
        <w:autoSpaceDN w:val="0"/>
        <w:adjustRightInd w:val="0"/>
        <w:jc w:val="both"/>
        <w:outlineLvl w:val="0"/>
        <w:rPr>
          <w:rFonts w:ascii="Arial" w:hAnsi="Arial" w:cs="Arial"/>
          <w:sz w:val="22"/>
          <w:szCs w:val="22"/>
        </w:rPr>
      </w:pPr>
      <w:r w:rsidRPr="00C43C5B">
        <w:rPr>
          <w:rFonts w:ascii="Arial" w:hAnsi="Arial" w:cs="Arial"/>
          <w:sz w:val="22"/>
          <w:szCs w:val="22"/>
        </w:rPr>
        <w:t>Spolu s novou právní úpravou povinného značení lihu byla zavedena nová generace kontrolních pásek s výrazně lepšími ochrannými prvky, což vedlo k tomu, že od její účinnosti nebyly zaznamenány padělky kontrolních pásek. V rámci evidenčního kódu v označení kontrolní pásky je uveden též údaj, jehož prostřednictvím je možné určit přesný obsah lihu ve spotřebitelském balení (dříve byl tento údaj uváděn pouze pásmově, což umožňovalo daňové úniky založené na plnění spotřebitelského balení lihovinou o vyšším obsahu lihu, než odpovídalo zdanění – tento typ daňového úniku od přijetí nové právní úpravy není možný). Evidence kontrolních pásek ze strany jejich držitelů je vedena v rovině evidenčních kódů (neevidují se individuální kódy). Z evidence lze tedy určit dvanáctimístným alfanumerický evidenční kód, který je společný pro všechny kontrolní pásky dané série, odebírající osobu, datum objednávky a lihovitost.</w:t>
      </w:r>
    </w:p>
    <w:p w14:paraId="3C189DC0" w14:textId="25EC9ECC" w:rsidR="00361486" w:rsidRPr="00C43C5B" w:rsidRDefault="00361486" w:rsidP="00361486">
      <w:pPr>
        <w:autoSpaceDE w:val="0"/>
        <w:autoSpaceDN w:val="0"/>
        <w:adjustRightInd w:val="0"/>
        <w:jc w:val="both"/>
        <w:outlineLvl w:val="0"/>
        <w:rPr>
          <w:rFonts w:ascii="Arial" w:hAnsi="Arial" w:cs="Arial"/>
          <w:sz w:val="22"/>
          <w:szCs w:val="22"/>
        </w:rPr>
      </w:pPr>
      <w:r w:rsidRPr="00C43C5B">
        <w:rPr>
          <w:rFonts w:ascii="Arial" w:hAnsi="Arial" w:cs="Arial"/>
          <w:sz w:val="22"/>
          <w:szCs w:val="22"/>
        </w:rPr>
        <w:t>Nelze souhlasit se závěrem, podle něhož registr kontrolních pásek, vedený Generálním ředitelstvím cel, postrádá smysl. Smyslem registru kontrolních pásek je především poskytnout souhrn informací pro kontrolní a vyhledávací činnost celních orgánů, včetně dalších kontrolních orgánů, a podpůrně také data pro veřejnost. Přečtení QR kódu na kontrolní pásce umožňuje jak kontrolujícímu orgánu, tak spotřebiteli získat mimo jiné informace ohledně odběratele kontrolní pásky a jejím umístění na spotřebitelském balení obsahujícím lihovinu o obsahu lihu odpovídajícímu dané kontrolní pásce (v případě použití kontrolní pásky jiným výrobcem nebo na lihovinu jiného druhu lze identifikovat rozpor, navíc u části nahlášených zničených či ztracených kontrolních pásek jsou nahlašovány i jejich individuální kódy).</w:t>
      </w:r>
      <w:r w:rsidR="00692C2B">
        <w:rPr>
          <w:rFonts w:ascii="Arial" w:hAnsi="Arial" w:cs="Arial"/>
          <w:sz w:val="22"/>
          <w:szCs w:val="22"/>
        </w:rPr>
        <w:t xml:space="preserve"> </w:t>
      </w:r>
    </w:p>
    <w:p w14:paraId="1768B1F5" w14:textId="77777777" w:rsidR="00361486" w:rsidRDefault="00361486" w:rsidP="00361486">
      <w:pPr>
        <w:autoSpaceDE w:val="0"/>
        <w:autoSpaceDN w:val="0"/>
        <w:adjustRightInd w:val="0"/>
        <w:jc w:val="both"/>
        <w:outlineLvl w:val="0"/>
        <w:rPr>
          <w:rFonts w:ascii="Arial" w:hAnsi="Arial" w:cs="Arial"/>
          <w:sz w:val="22"/>
          <w:szCs w:val="22"/>
        </w:rPr>
      </w:pPr>
      <w:r w:rsidRPr="00C43C5B">
        <w:rPr>
          <w:rFonts w:ascii="Arial" w:hAnsi="Arial" w:cs="Arial"/>
          <w:sz w:val="22"/>
          <w:szCs w:val="22"/>
        </w:rPr>
        <w:t>Lze souhlasit s tím, že v případě plné individualizace evidence kontrolních pásek by se efekt registru kontrolních pásek ještě zvýšil, nicméně v takovém případě je třeba počítat s</w:t>
      </w:r>
      <w:r w:rsidR="00D125FB">
        <w:rPr>
          <w:rFonts w:ascii="Arial" w:hAnsi="Arial" w:cs="Arial"/>
          <w:sz w:val="22"/>
          <w:szCs w:val="22"/>
        </w:rPr>
        <w:t> </w:t>
      </w:r>
      <w:r w:rsidRPr="00C43C5B">
        <w:rPr>
          <w:rFonts w:ascii="Arial" w:hAnsi="Arial" w:cs="Arial"/>
          <w:sz w:val="22"/>
          <w:szCs w:val="22"/>
        </w:rPr>
        <w:t>překážkou v podobě enormních nákladů a neúměrné administrativní zátěže na straně výrobců a dovozců lihovin. V souvislosti se zavedením stávajících kontrolních pásek vybavených tzv. QR kódy byla v minulosti diskutována i alternativa v podobě zavedení kontrolních pásek vybavených tzv. RFID čipy. Toto řešení by teoreticky umožnilo zavedení tzv. absolutního sledování lihovin, neboť by bylo mimo jiné možné relativně snadno snímat jednotlivé čipy kontrolních pásek téměř v reálném čase i v rámci obvyklých výrobních, distribučních, logistických a přepravních postupů při nakládání s lihovinami (při ohlédnutí od některých technických rizik takového postupu, např. v podobě rušení snímačů některými typy obalů). Zavedení tohoto opatření by však výrazně zvýšilo náklady, které by se promítly jednak do ceny kontrolní pásky (řádový nárůst z dnešních 0,44 Kč na cca 2,50 Kč), jednak do nutnosti pořízení snímacích zařízení a provedení dalších technologických úprav na straně dotčených ekonomických subjektů. Návrh na zvedení kontrolních pásek obsahujících RFID čipy byl ostatně v roce 2013 zamítnut Poslaneckou sněmovnou.</w:t>
      </w:r>
    </w:p>
    <w:p w14:paraId="267FCA5D" w14:textId="77777777" w:rsidR="00692C2B" w:rsidRPr="00C43C5B" w:rsidRDefault="00692C2B" w:rsidP="00361486">
      <w:pPr>
        <w:autoSpaceDE w:val="0"/>
        <w:autoSpaceDN w:val="0"/>
        <w:adjustRightInd w:val="0"/>
        <w:jc w:val="both"/>
        <w:outlineLvl w:val="0"/>
        <w:rPr>
          <w:rFonts w:ascii="Arial" w:hAnsi="Arial" w:cs="Arial"/>
          <w:sz w:val="22"/>
          <w:szCs w:val="22"/>
        </w:rPr>
      </w:pPr>
      <w:r>
        <w:rPr>
          <w:rFonts w:ascii="Arial" w:hAnsi="Arial" w:cs="Arial"/>
          <w:sz w:val="22"/>
          <w:szCs w:val="22"/>
        </w:rPr>
        <w:t>Vzhledem ke skutečnosti, že vývoj technologií jde stále dopředu, Ministerstvo financí ani Generální ředitelství cel „myšlenku absolutní individualizace kontrolních pásek“ nezatratilo, ale i nadále sleduje vývoj technologií a ve spolupráci se Státní tiskárnou cenin hledá další cesty k naplnění tohoto „ideálního“ stavu.</w:t>
      </w:r>
    </w:p>
    <w:p w14:paraId="0F831AC5" w14:textId="77777777" w:rsidR="00361486" w:rsidRPr="00C43C5B" w:rsidRDefault="00361486" w:rsidP="00361486">
      <w:pPr>
        <w:autoSpaceDE w:val="0"/>
        <w:autoSpaceDN w:val="0"/>
        <w:adjustRightInd w:val="0"/>
        <w:jc w:val="both"/>
        <w:outlineLvl w:val="0"/>
        <w:rPr>
          <w:rFonts w:ascii="Arial" w:hAnsi="Arial" w:cs="Arial"/>
          <w:sz w:val="22"/>
          <w:szCs w:val="22"/>
        </w:rPr>
      </w:pPr>
      <w:r w:rsidRPr="00C43C5B">
        <w:rPr>
          <w:rFonts w:ascii="Arial" w:hAnsi="Arial" w:cs="Arial"/>
          <w:sz w:val="22"/>
          <w:szCs w:val="22"/>
        </w:rPr>
        <w:t>Zcela zavádějící je zjištění NKÚ ve vztahu k problematice rizikovosti ztracených a zničených kontrolních pásek. Aktuální zákon o povinném značení výrazně zamezuje machinacím s</w:t>
      </w:r>
      <w:r w:rsidR="00D125FB">
        <w:rPr>
          <w:rFonts w:ascii="Arial" w:hAnsi="Arial" w:cs="Arial"/>
          <w:sz w:val="22"/>
          <w:szCs w:val="22"/>
        </w:rPr>
        <w:t> </w:t>
      </w:r>
      <w:r w:rsidRPr="00C43C5B">
        <w:rPr>
          <w:rFonts w:ascii="Arial" w:hAnsi="Arial" w:cs="Arial"/>
          <w:sz w:val="22"/>
          <w:szCs w:val="22"/>
        </w:rPr>
        <w:t>údajně ztracenými či zničenými kontrolními páskami, a to bez ohledu na skutečnost, že není evidence kontrolních pásek vedena podle individuálních kódů. Zákon o povinném značení lihu postihuje ztrátu nebo zničení kontrolních pásek pokutou nejméně ve výši spotřební daně z lihu, která těmto páskám odpovídá. Pro možnost uložit tuto sankci plně postačuje stávající evidence kontrolních pásek. Tímto způsobem pozbývají machinace s</w:t>
      </w:r>
      <w:r w:rsidR="00D125FB">
        <w:rPr>
          <w:rFonts w:ascii="Arial" w:hAnsi="Arial" w:cs="Arial"/>
          <w:sz w:val="22"/>
          <w:szCs w:val="22"/>
        </w:rPr>
        <w:t> </w:t>
      </w:r>
      <w:r w:rsidRPr="00C43C5B">
        <w:rPr>
          <w:rFonts w:ascii="Arial" w:hAnsi="Arial" w:cs="Arial"/>
          <w:sz w:val="22"/>
          <w:szCs w:val="22"/>
        </w:rPr>
        <w:t xml:space="preserve">údajně zničenými či ztracenými kontrolními páskami do značné míry ekonomický smysl. Tolerováno je pouze zničení nebo ztráta velmi omezeného počtu kontrolních pásek, jemuž se v rámci technologie výroby a značení lihu nelze vyhnout (zničení kontrolní pásky tak nelze </w:t>
      </w:r>
      <w:r w:rsidRPr="00C43C5B">
        <w:rPr>
          <w:rFonts w:ascii="Arial" w:hAnsi="Arial" w:cs="Arial"/>
          <w:sz w:val="22"/>
          <w:szCs w:val="22"/>
        </w:rPr>
        <w:lastRenderedPageBreak/>
        <w:t xml:space="preserve">a priori považovat za rizikový faktor). Zákon o povinném značení lihu současně výrazně zpřísnil požadavky na zabezpečení kontrolních pásek a na vracení nepoužitých kontrolních pásek, včetně zpřísnění postihů za porušování povinností. </w:t>
      </w:r>
    </w:p>
    <w:p w14:paraId="33A6A7E5" w14:textId="77777777" w:rsidR="00361486" w:rsidRPr="00C43C5B" w:rsidRDefault="00361486" w:rsidP="00361486">
      <w:pPr>
        <w:autoSpaceDE w:val="0"/>
        <w:autoSpaceDN w:val="0"/>
        <w:adjustRightInd w:val="0"/>
        <w:jc w:val="both"/>
        <w:outlineLvl w:val="0"/>
        <w:rPr>
          <w:rFonts w:ascii="Arial" w:hAnsi="Arial" w:cs="Arial"/>
          <w:sz w:val="22"/>
          <w:szCs w:val="22"/>
        </w:rPr>
      </w:pPr>
      <w:r w:rsidRPr="00C43C5B">
        <w:rPr>
          <w:rFonts w:ascii="Arial" w:hAnsi="Arial" w:cs="Arial"/>
          <w:sz w:val="22"/>
          <w:szCs w:val="22"/>
        </w:rPr>
        <w:t>Zjištění NKÚ současně odhlíží od výrazného poklesu případů ztracení, zničení a odcizení kontrolních pásek od účinnosti zákona o povinném značení lihu, když uvádí, že v období 2005 – 2015 bylo zničeno, ztraceno, či odcizeno cca 3,9 mil. kontrolních pásek, které jsou označovány za rizikové z pohledu potenciálního zneužití. Zde je však třeba uvést, že od účinnosti nové právní úpravy bylo zničeno, ztraceno či odcizeno pouze necelých 48 000 kontrolních pásek, což odpovídá ročnímu poklesu o cca 90 %. Pokud jde o rizikovost „starých“ kontrolních pásek, které byly údajně zničeny, ztraceny či odcizeny, je třeba uvést, že jde o kontrolní pásky starého vzoru z období před tzv. metanolovou kauzou, jejichž potenciál pro zneužití je z pohledu daňového i z pohledu ochrany spotřebitele již zanedbatelný.</w:t>
      </w:r>
    </w:p>
    <w:p w14:paraId="1B83DC1A" w14:textId="32F5239E" w:rsidR="00361486" w:rsidRPr="00C43C5B" w:rsidRDefault="00361486" w:rsidP="00361486">
      <w:pPr>
        <w:autoSpaceDE w:val="0"/>
        <w:autoSpaceDN w:val="0"/>
        <w:adjustRightInd w:val="0"/>
        <w:jc w:val="both"/>
        <w:outlineLvl w:val="0"/>
        <w:rPr>
          <w:rFonts w:ascii="Arial" w:hAnsi="Arial" w:cs="Arial"/>
          <w:sz w:val="22"/>
          <w:szCs w:val="22"/>
        </w:rPr>
      </w:pPr>
      <w:r w:rsidRPr="00C43C5B">
        <w:rPr>
          <w:rFonts w:ascii="Arial" w:hAnsi="Arial" w:cs="Arial"/>
          <w:sz w:val="22"/>
          <w:szCs w:val="22"/>
        </w:rPr>
        <w:t xml:space="preserve">V souvislosti se změnou vzoru kontrolní pásky od 1. 12. 2013 došlo i ke změně struktury kódu uváděného na kontrolní pásce. Od tohoto data obsahuje </w:t>
      </w:r>
      <w:r w:rsidR="00F15425">
        <w:rPr>
          <w:rFonts w:ascii="Arial" w:hAnsi="Arial" w:cs="Arial"/>
          <w:sz w:val="22"/>
          <w:szCs w:val="22"/>
        </w:rPr>
        <w:t>evidenční</w:t>
      </w:r>
      <w:r w:rsidR="00F15425" w:rsidRPr="00C43C5B">
        <w:rPr>
          <w:rFonts w:ascii="Arial" w:hAnsi="Arial" w:cs="Arial"/>
          <w:sz w:val="22"/>
          <w:szCs w:val="22"/>
        </w:rPr>
        <w:t xml:space="preserve"> </w:t>
      </w:r>
      <w:r w:rsidRPr="00C43C5B">
        <w:rPr>
          <w:rFonts w:ascii="Arial" w:hAnsi="Arial" w:cs="Arial"/>
          <w:sz w:val="22"/>
          <w:szCs w:val="22"/>
        </w:rPr>
        <w:t xml:space="preserve">kód kontrolní pásky </w:t>
      </w:r>
      <w:r w:rsidR="006F2299">
        <w:rPr>
          <w:rFonts w:ascii="Arial" w:hAnsi="Arial" w:cs="Arial"/>
          <w:sz w:val="22"/>
          <w:szCs w:val="22"/>
        </w:rPr>
        <w:t xml:space="preserve">mimo jiné informace využitelné pro správu daní i </w:t>
      </w:r>
      <w:r w:rsidRPr="00C43C5B">
        <w:rPr>
          <w:rFonts w:ascii="Arial" w:hAnsi="Arial" w:cs="Arial"/>
          <w:sz w:val="22"/>
          <w:szCs w:val="22"/>
        </w:rPr>
        <w:t xml:space="preserve">informaci o konkrétním obsahu lihu v daném spotřebitelském balení lihu, na němž je kontrolní páska umístěna. </w:t>
      </w:r>
      <w:r w:rsidR="006F2299">
        <w:rPr>
          <w:rFonts w:ascii="Arial" w:hAnsi="Arial" w:cs="Arial"/>
          <w:sz w:val="22"/>
          <w:szCs w:val="22"/>
        </w:rPr>
        <w:t>Informace o</w:t>
      </w:r>
      <w:r w:rsidR="00A838FB">
        <w:rPr>
          <w:rFonts w:ascii="Arial" w:hAnsi="Arial" w:cs="Arial"/>
          <w:sz w:val="22"/>
          <w:szCs w:val="22"/>
        </w:rPr>
        <w:t> </w:t>
      </w:r>
      <w:r w:rsidR="006F2299">
        <w:rPr>
          <w:rFonts w:ascii="Arial" w:hAnsi="Arial" w:cs="Arial"/>
          <w:sz w:val="22"/>
          <w:szCs w:val="22"/>
        </w:rPr>
        <w:t>konkrétním obsahu lihu</w:t>
      </w:r>
      <w:r w:rsidR="006F2299" w:rsidRPr="00C43C5B">
        <w:rPr>
          <w:rFonts w:ascii="Arial" w:hAnsi="Arial" w:cs="Arial"/>
          <w:sz w:val="22"/>
          <w:szCs w:val="22"/>
        </w:rPr>
        <w:t xml:space="preserve"> </w:t>
      </w:r>
      <w:r w:rsidRPr="00C43C5B">
        <w:rPr>
          <w:rFonts w:ascii="Arial" w:hAnsi="Arial" w:cs="Arial"/>
          <w:sz w:val="22"/>
          <w:szCs w:val="22"/>
        </w:rPr>
        <w:t xml:space="preserve">umožňuje přímé porovnání množství odebraných kontrolních pásek s výší uhrazené spotřební daně a tím i přímé zjištění ztracených či znehodnocených kontrolních pásek. Výše pokuty za ztracené či zničené kontrolní pásky může dosáhnout až hodnoty 10 násobku spotřební daně připadající na spotřebitelské balení, které by mohlo být touto kontrolní páskou označeno. </w:t>
      </w:r>
      <w:r w:rsidR="00692C2B">
        <w:rPr>
          <w:rFonts w:ascii="Arial" w:hAnsi="Arial" w:cs="Arial"/>
          <w:sz w:val="22"/>
          <w:szCs w:val="22"/>
        </w:rPr>
        <w:t xml:space="preserve">V odůvodněných případech může správce daně sice využít ustanovení § 71 odst. 1 zákona o povinném značení lihu, </w:t>
      </w:r>
      <w:r w:rsidR="005A1C05">
        <w:rPr>
          <w:rFonts w:ascii="Arial" w:hAnsi="Arial" w:cs="Arial"/>
          <w:sz w:val="22"/>
          <w:szCs w:val="22"/>
        </w:rPr>
        <w:t>avšak doposud takový případ nenastal.</w:t>
      </w:r>
    </w:p>
    <w:p w14:paraId="2C9F981B" w14:textId="77777777" w:rsidR="00361486" w:rsidRPr="00C43C5B" w:rsidRDefault="00361486" w:rsidP="00361486">
      <w:pPr>
        <w:autoSpaceDE w:val="0"/>
        <w:autoSpaceDN w:val="0"/>
        <w:adjustRightInd w:val="0"/>
        <w:jc w:val="both"/>
        <w:outlineLvl w:val="0"/>
        <w:rPr>
          <w:rFonts w:ascii="Arial" w:hAnsi="Arial" w:cs="Arial"/>
          <w:b/>
          <w:i/>
          <w:noProof/>
          <w:sz w:val="22"/>
          <w:szCs w:val="22"/>
        </w:rPr>
      </w:pPr>
      <w:r w:rsidRPr="00C43C5B">
        <w:rPr>
          <w:rFonts w:ascii="Arial" w:hAnsi="Arial" w:cs="Arial"/>
          <w:sz w:val="22"/>
          <w:szCs w:val="22"/>
        </w:rPr>
        <w:t>Za období od 1. 7. 2005 do 31. 3. 2015 bylo celními úřady vydáno subjektům celkem 1 135 149 700 ks kontrolních pásek, z tohoto celkového počtu bylo zničeno nebo ztraceno celkem 3 938 889 ks kontrolních pásek, tj. 0,346 %.</w:t>
      </w:r>
    </w:p>
    <w:p w14:paraId="019B024E" w14:textId="77777777" w:rsidR="00361486" w:rsidRPr="00C43C5B" w:rsidRDefault="00361486" w:rsidP="00361486">
      <w:pPr>
        <w:autoSpaceDE w:val="0"/>
        <w:autoSpaceDN w:val="0"/>
        <w:adjustRightInd w:val="0"/>
        <w:jc w:val="both"/>
        <w:outlineLvl w:val="0"/>
        <w:rPr>
          <w:rFonts w:ascii="Arial" w:hAnsi="Arial" w:cs="Arial"/>
          <w:sz w:val="22"/>
          <w:szCs w:val="22"/>
        </w:rPr>
      </w:pPr>
      <w:r w:rsidRPr="00C43C5B">
        <w:rPr>
          <w:rFonts w:ascii="Arial" w:hAnsi="Arial" w:cs="Arial"/>
          <w:sz w:val="22"/>
          <w:szCs w:val="22"/>
        </w:rPr>
        <w:t xml:space="preserve">Možnost zavedení výběru spotřební daně z lihu prostřednictvím kolku byla v rámci MF v minulosti mnohokrát zvažována a diskutována především na základě podnětů GŘC. Po zvážení kladů a záporů nebylo ze strany vedení MF rozhodnuto o zavedení takového opatření. Jedním z hlavních důvodů je finanční zatížení poctivých výrobců při existenci skutečnosti, že k výrobě nezdaněných lihovin se používá mimobilanční líh, tedy líh neevidovaný, popřípadě líh denaturovaný. Takto vyrobené lihoviny nejsou označovány ani dnes legálně nabytou páskou a lze důvodně předpokládat, že by nebyly značeny ani uvažovaným kolkem. K zamezení výroby lihovin z mimobilančního lihu celní správa používá místní šetření a kontroly především rizikových subjektů.  </w:t>
      </w:r>
    </w:p>
    <w:p w14:paraId="32B40A2E" w14:textId="77777777" w:rsidR="009040F4" w:rsidRPr="00B7496C" w:rsidRDefault="00361486" w:rsidP="00361486">
      <w:pPr>
        <w:autoSpaceDE w:val="0"/>
        <w:autoSpaceDN w:val="0"/>
        <w:adjustRightInd w:val="0"/>
        <w:jc w:val="both"/>
        <w:outlineLvl w:val="0"/>
        <w:rPr>
          <w:rFonts w:ascii="Arial" w:hAnsi="Arial" w:cs="Arial"/>
          <w:sz w:val="22"/>
          <w:szCs w:val="22"/>
        </w:rPr>
      </w:pPr>
      <w:r w:rsidRPr="00C43C5B">
        <w:rPr>
          <w:rFonts w:ascii="Arial" w:hAnsi="Arial" w:cs="Arial"/>
          <w:sz w:val="22"/>
          <w:szCs w:val="22"/>
        </w:rPr>
        <w:t xml:space="preserve">Na základě úkolů uložených vládou vyplývajících mimo jiné z Plánu nulové tolerance k černému trhu s lihovinami a úkolu uloženému Plánem legislativních prací vlády již byl přijat </w:t>
      </w:r>
      <w:r w:rsidRPr="00B7496C">
        <w:rPr>
          <w:rFonts w:ascii="Arial" w:hAnsi="Arial" w:cs="Arial"/>
          <w:sz w:val="22"/>
          <w:szCs w:val="22"/>
        </w:rPr>
        <w:t>legislativní soubor opatření, který měl zvýšit dohled nad výr</w:t>
      </w:r>
      <w:r w:rsidR="009040F4" w:rsidRPr="00B7496C">
        <w:rPr>
          <w:rFonts w:ascii="Arial" w:hAnsi="Arial" w:cs="Arial"/>
          <w:sz w:val="22"/>
          <w:szCs w:val="22"/>
        </w:rPr>
        <w:t>obou a nakládáním s lihovinami.</w:t>
      </w:r>
    </w:p>
    <w:p w14:paraId="3FF7681F" w14:textId="77777777" w:rsidR="00361486" w:rsidRPr="00C43C5B" w:rsidRDefault="009040F4" w:rsidP="00361486">
      <w:pPr>
        <w:autoSpaceDE w:val="0"/>
        <w:autoSpaceDN w:val="0"/>
        <w:adjustRightInd w:val="0"/>
        <w:jc w:val="both"/>
        <w:outlineLvl w:val="0"/>
        <w:rPr>
          <w:rFonts w:ascii="Arial" w:hAnsi="Arial" w:cs="Arial"/>
          <w:sz w:val="22"/>
          <w:szCs w:val="22"/>
        </w:rPr>
      </w:pPr>
      <w:r w:rsidRPr="00B7496C">
        <w:rPr>
          <w:rFonts w:ascii="Arial" w:hAnsi="Arial" w:cs="Arial"/>
          <w:sz w:val="22"/>
          <w:szCs w:val="22"/>
        </w:rPr>
        <w:t>Kromě výše zmíněných se jedná především o omezení velikosti spotřebitelského balení lihu, zavedení nového systému registrace výrobců, dovozců a distributorů lihu se zpřísněnými vstupními požadavky (včetně povinnosti poskytnout kauci), zavedení povinnosti konečných prodejců nakupovat lihoviny pouze od registrovaných subjektů, stanovení řady pravidel a omezení směřujících k eliminaci prodeje nelegálního lihu v restauračních a jiných podobných podnicích, zavedení kamerových systémů na místech značení lihu, zavedení prodeje lihu jako koncesované živnosti,</w:t>
      </w:r>
      <w:r w:rsidR="00361486" w:rsidRPr="00B7496C">
        <w:rPr>
          <w:rFonts w:ascii="Arial" w:hAnsi="Arial" w:cs="Arial"/>
          <w:sz w:val="22"/>
          <w:szCs w:val="22"/>
        </w:rPr>
        <w:t xml:space="preserve"> zpřísnění podmínek pro vydávání příslušných povolení podle zákona o</w:t>
      </w:r>
      <w:r w:rsidR="00D125FB" w:rsidRPr="00B7496C">
        <w:rPr>
          <w:rFonts w:ascii="Arial" w:hAnsi="Arial" w:cs="Arial"/>
          <w:sz w:val="22"/>
          <w:szCs w:val="22"/>
        </w:rPr>
        <w:t> </w:t>
      </w:r>
      <w:r w:rsidR="00361486" w:rsidRPr="00B7496C">
        <w:rPr>
          <w:rFonts w:ascii="Arial" w:hAnsi="Arial" w:cs="Arial"/>
          <w:sz w:val="22"/>
          <w:szCs w:val="22"/>
        </w:rPr>
        <w:t>spotřebních daních, atd. GŘC se na přípravě všech opatření</w:t>
      </w:r>
      <w:r w:rsidR="00361486" w:rsidRPr="00C43C5B">
        <w:rPr>
          <w:rFonts w:ascii="Arial" w:hAnsi="Arial" w:cs="Arial"/>
          <w:sz w:val="22"/>
          <w:szCs w:val="22"/>
        </w:rPr>
        <w:t xml:space="preserve"> aktivně podílelo.</w:t>
      </w:r>
    </w:p>
    <w:p w14:paraId="11623156" w14:textId="77777777" w:rsidR="00361486" w:rsidRDefault="00361486" w:rsidP="00361486">
      <w:pPr>
        <w:autoSpaceDE w:val="0"/>
        <w:autoSpaceDN w:val="0"/>
        <w:adjustRightInd w:val="0"/>
        <w:jc w:val="both"/>
        <w:outlineLvl w:val="0"/>
        <w:rPr>
          <w:rFonts w:ascii="Arial" w:hAnsi="Arial" w:cs="Arial"/>
          <w:sz w:val="22"/>
          <w:szCs w:val="22"/>
        </w:rPr>
      </w:pPr>
      <w:r w:rsidRPr="00C43C5B">
        <w:rPr>
          <w:rFonts w:ascii="Arial" w:hAnsi="Arial" w:cs="Arial"/>
          <w:sz w:val="22"/>
          <w:szCs w:val="22"/>
        </w:rPr>
        <w:t>Pokud by mělo v budoucnosti být zvažováno zavedení výběru spotřební daně z lihu prostřednictvím kolku, je nezbytně nutné vyhodnotit efektivitu a nutnost, respektive nákladnost koexistence minulých, již zavedených opatření. Teprve na základě takové analýzy lze vytvořit nový a komplexní návrh určený k případné realizaci.</w:t>
      </w:r>
    </w:p>
    <w:p w14:paraId="7F0B77B8" w14:textId="77777777" w:rsidR="000E372F" w:rsidRPr="00C43C5B" w:rsidRDefault="000E372F" w:rsidP="00361486">
      <w:pPr>
        <w:autoSpaceDE w:val="0"/>
        <w:autoSpaceDN w:val="0"/>
        <w:adjustRightInd w:val="0"/>
        <w:jc w:val="both"/>
        <w:outlineLvl w:val="0"/>
        <w:rPr>
          <w:rFonts w:ascii="Arial" w:hAnsi="Arial" w:cs="Arial"/>
          <w:sz w:val="22"/>
          <w:szCs w:val="22"/>
        </w:rPr>
      </w:pPr>
      <w:r>
        <w:rPr>
          <w:rFonts w:ascii="Arial" w:hAnsi="Arial" w:cs="Arial"/>
          <w:sz w:val="22"/>
          <w:szCs w:val="22"/>
        </w:rPr>
        <w:t xml:space="preserve">Ministerstvo financí a Generální ředitelství cel vyhodnotí efektivitu a hospodárnost dosud zavedených opatření a jejich průběžnou nákladovost. Případný dopad opatření týkajícího se zavedení výběru spotřební daně z lihu prostřednictvím kolků je vzhledem k omezenému </w:t>
      </w:r>
      <w:r>
        <w:rPr>
          <w:rFonts w:ascii="Arial" w:hAnsi="Arial" w:cs="Arial"/>
          <w:sz w:val="22"/>
          <w:szCs w:val="22"/>
        </w:rPr>
        <w:lastRenderedPageBreak/>
        <w:t>množství dat komplikované kvantifikovat takovým způsobem, aby na zákl</w:t>
      </w:r>
      <w:r w:rsidR="008E0616">
        <w:rPr>
          <w:rFonts w:ascii="Arial" w:hAnsi="Arial" w:cs="Arial"/>
          <w:sz w:val="22"/>
          <w:szCs w:val="22"/>
        </w:rPr>
        <w:t>a</w:t>
      </w:r>
      <w:r>
        <w:rPr>
          <w:rFonts w:ascii="Arial" w:hAnsi="Arial" w:cs="Arial"/>
          <w:sz w:val="22"/>
          <w:szCs w:val="22"/>
        </w:rPr>
        <w:t>dě těchto dopadů bylo možné určit přiměřenost navrhovaného opatření. Nicméně k případné další an</w:t>
      </w:r>
      <w:r w:rsidR="008E0616">
        <w:rPr>
          <w:rFonts w:ascii="Arial" w:hAnsi="Arial" w:cs="Arial"/>
          <w:sz w:val="22"/>
          <w:szCs w:val="22"/>
        </w:rPr>
        <w:t>a</w:t>
      </w:r>
      <w:r>
        <w:rPr>
          <w:rFonts w:ascii="Arial" w:hAnsi="Arial" w:cs="Arial"/>
          <w:sz w:val="22"/>
          <w:szCs w:val="22"/>
        </w:rPr>
        <w:t>lýze budou využívány výsledky sledování účinnosti již zavedených opatření.</w:t>
      </w:r>
    </w:p>
    <w:p w14:paraId="75FCD8FC" w14:textId="77777777" w:rsidR="00234E2D" w:rsidRDefault="00234E2D" w:rsidP="00C126A0">
      <w:pPr>
        <w:autoSpaceDE w:val="0"/>
        <w:autoSpaceDN w:val="0"/>
        <w:adjustRightInd w:val="0"/>
        <w:jc w:val="both"/>
        <w:outlineLvl w:val="0"/>
        <w:rPr>
          <w:rFonts w:ascii="Arial" w:hAnsi="Arial" w:cs="Arial"/>
          <w:b/>
          <w:noProof/>
          <w:sz w:val="22"/>
          <w:szCs w:val="22"/>
        </w:rPr>
      </w:pPr>
    </w:p>
    <w:p w14:paraId="001D213B" w14:textId="77777777" w:rsidR="001C1916" w:rsidRDefault="001C1916" w:rsidP="00C126A0">
      <w:pPr>
        <w:autoSpaceDE w:val="0"/>
        <w:autoSpaceDN w:val="0"/>
        <w:adjustRightInd w:val="0"/>
        <w:jc w:val="both"/>
        <w:outlineLvl w:val="0"/>
        <w:rPr>
          <w:rFonts w:ascii="Arial" w:hAnsi="Arial" w:cs="Arial"/>
          <w:b/>
          <w:noProof/>
          <w:sz w:val="22"/>
          <w:szCs w:val="22"/>
        </w:rPr>
      </w:pPr>
    </w:p>
    <w:p w14:paraId="78907446" w14:textId="77777777" w:rsidR="007C1993" w:rsidRDefault="006302FE" w:rsidP="00851788">
      <w:pPr>
        <w:autoSpaceDE w:val="0"/>
        <w:autoSpaceDN w:val="0"/>
        <w:adjustRightInd w:val="0"/>
        <w:jc w:val="both"/>
        <w:rPr>
          <w:rFonts w:ascii="Arial" w:hAnsi="Arial" w:cs="Arial"/>
          <w:b/>
          <w:bCs/>
          <w:sz w:val="22"/>
          <w:szCs w:val="22"/>
        </w:rPr>
      </w:pPr>
      <w:r>
        <w:rPr>
          <w:rFonts w:ascii="Arial" w:hAnsi="Arial" w:cs="Arial"/>
          <w:b/>
          <w:bCs/>
          <w:sz w:val="22"/>
          <w:szCs w:val="22"/>
        </w:rPr>
        <w:t xml:space="preserve">Bod </w:t>
      </w:r>
      <w:r w:rsidR="00497BB9">
        <w:rPr>
          <w:rFonts w:ascii="Arial" w:hAnsi="Arial" w:cs="Arial"/>
          <w:b/>
          <w:bCs/>
          <w:sz w:val="22"/>
          <w:szCs w:val="22"/>
        </w:rPr>
        <w:t>1</w:t>
      </w:r>
      <w:r>
        <w:rPr>
          <w:rFonts w:ascii="Arial" w:hAnsi="Arial" w:cs="Arial"/>
          <w:b/>
          <w:bCs/>
          <w:sz w:val="22"/>
          <w:szCs w:val="22"/>
        </w:rPr>
        <w:t>c)</w:t>
      </w:r>
      <w:r w:rsidR="00851788" w:rsidRPr="00EA6CAB">
        <w:rPr>
          <w:rFonts w:ascii="Arial" w:hAnsi="Arial" w:cs="Arial"/>
          <w:b/>
          <w:bCs/>
          <w:sz w:val="22"/>
          <w:szCs w:val="22"/>
        </w:rPr>
        <w:t xml:space="preserve"> Kontrola dopravy lihu</w:t>
      </w:r>
    </w:p>
    <w:p w14:paraId="58C9A933" w14:textId="77777777" w:rsidR="007C1993" w:rsidRPr="007C1993" w:rsidRDefault="007C1993" w:rsidP="00851788">
      <w:pPr>
        <w:autoSpaceDE w:val="0"/>
        <w:autoSpaceDN w:val="0"/>
        <w:adjustRightInd w:val="0"/>
        <w:jc w:val="both"/>
        <w:rPr>
          <w:rFonts w:ascii="Arial" w:hAnsi="Arial" w:cs="Arial"/>
          <w:b/>
          <w:bCs/>
          <w:sz w:val="22"/>
          <w:szCs w:val="22"/>
        </w:rPr>
      </w:pPr>
    </w:p>
    <w:p w14:paraId="4B6CF6D9" w14:textId="77777777" w:rsidR="00EA6CAB" w:rsidRPr="00EA6CAB" w:rsidRDefault="00EA6CAB" w:rsidP="00851788">
      <w:pPr>
        <w:autoSpaceDE w:val="0"/>
        <w:autoSpaceDN w:val="0"/>
        <w:adjustRightInd w:val="0"/>
        <w:jc w:val="both"/>
        <w:rPr>
          <w:rFonts w:ascii="Arial" w:hAnsi="Arial" w:cs="Arial"/>
          <w:b/>
          <w:bCs/>
        </w:rPr>
      </w:pPr>
      <w:r>
        <w:rPr>
          <w:rFonts w:ascii="Arial" w:hAnsi="Arial" w:cs="Arial"/>
          <w:i/>
          <w:sz w:val="22"/>
          <w:szCs w:val="22"/>
          <w:u w:val="single"/>
        </w:rPr>
        <w:t>Zjištění NKÚ</w:t>
      </w:r>
      <w:r w:rsidR="00497BB9">
        <w:rPr>
          <w:rFonts w:ascii="Arial" w:hAnsi="Arial" w:cs="Arial"/>
          <w:i/>
          <w:sz w:val="22"/>
          <w:szCs w:val="22"/>
          <w:u w:val="single"/>
        </w:rPr>
        <w:t>:</w:t>
      </w:r>
    </w:p>
    <w:p w14:paraId="2E46BD32" w14:textId="77777777" w:rsidR="00851788" w:rsidRPr="00EA6CAB" w:rsidRDefault="008D46B7" w:rsidP="00851788">
      <w:pPr>
        <w:pStyle w:val="Default"/>
        <w:jc w:val="both"/>
        <w:rPr>
          <w:rFonts w:ascii="Arial" w:hAnsi="Arial" w:cs="Arial"/>
          <w:i/>
          <w:color w:val="auto"/>
          <w:sz w:val="22"/>
          <w:szCs w:val="22"/>
        </w:rPr>
      </w:pPr>
      <w:r>
        <w:rPr>
          <w:rFonts w:ascii="Arial" w:hAnsi="Arial" w:cs="Arial"/>
          <w:i/>
          <w:color w:val="auto"/>
          <w:sz w:val="22"/>
          <w:szCs w:val="22"/>
        </w:rPr>
        <w:t>„</w:t>
      </w:r>
      <w:r w:rsidR="00851788" w:rsidRPr="00EA6CAB">
        <w:rPr>
          <w:rFonts w:ascii="Arial" w:hAnsi="Arial" w:cs="Arial"/>
          <w:i/>
          <w:color w:val="auto"/>
          <w:sz w:val="22"/>
          <w:szCs w:val="22"/>
        </w:rPr>
        <w:t xml:space="preserve">Dostatečnost kontrolní činnosti CS ČR při dopravě lihu nelze vyhodnotit, neboť přepravy ve volném daňovém oběhu nebyly nikde evidovány a ve vztahu ke konkrétnímu daňovému subjektu nebyla vedena kompletní evidence kontrolní činnosti CS ČR. </w:t>
      </w:r>
    </w:p>
    <w:p w14:paraId="6AD50340" w14:textId="77777777" w:rsidR="00851788" w:rsidRPr="00EA6CAB" w:rsidRDefault="00851788" w:rsidP="00851788">
      <w:pPr>
        <w:pStyle w:val="Default"/>
        <w:jc w:val="both"/>
        <w:rPr>
          <w:rFonts w:ascii="Arial" w:hAnsi="Arial" w:cs="Arial"/>
          <w:i/>
          <w:color w:val="auto"/>
          <w:sz w:val="22"/>
          <w:szCs w:val="22"/>
        </w:rPr>
      </w:pPr>
      <w:r w:rsidRPr="00EA6CAB">
        <w:rPr>
          <w:rFonts w:ascii="Arial" w:hAnsi="Arial" w:cs="Arial"/>
          <w:i/>
          <w:color w:val="auto"/>
          <w:sz w:val="22"/>
          <w:szCs w:val="22"/>
        </w:rPr>
        <w:t>Správnost a platnost údajů uvedených v návrhu elektronického průvodního dokladu (včetně běžné doby dopravy definované odesílatelem) musí celní orgán ověřit. Podle zástupce Evropské komise je doba dopravy evropský problém a v současné době neexistuje legislativní způsob, jak její délku navrženou odesílatelem omezit. Porovnáním se schválenou délkou doby dopravy z jiných členských zemí EU NKÚ zjistil, že CÚ v ČR ověřovaly a</w:t>
      </w:r>
      <w:r w:rsidR="00764F51">
        <w:rPr>
          <w:rFonts w:ascii="Arial" w:hAnsi="Arial" w:cs="Arial"/>
          <w:i/>
          <w:color w:val="auto"/>
          <w:sz w:val="22"/>
          <w:szCs w:val="22"/>
        </w:rPr>
        <w:t> </w:t>
      </w:r>
      <w:r w:rsidRPr="00EA6CAB">
        <w:rPr>
          <w:rFonts w:ascii="Arial" w:hAnsi="Arial" w:cs="Arial"/>
          <w:i/>
          <w:color w:val="auto"/>
          <w:sz w:val="22"/>
          <w:szCs w:val="22"/>
        </w:rPr>
        <w:t xml:space="preserve">schvalovaly výrazně kratší dobu přepravy. I tak byly zjištěny přepravy s nepřiměřenou průměrnou délkou, a to zejména u dopravy do Německa (šest dní), Rakouska (pět dní), na Slovensko (pět dní), do Maďarska (14 dní) a především v případech samo schvalování dopravy daňovým subjektem (umožněno rozhodnutím CÚ). </w:t>
      </w:r>
    </w:p>
    <w:p w14:paraId="08EA9129" w14:textId="77777777" w:rsidR="00851788" w:rsidRPr="00EA6CAB" w:rsidRDefault="00851788" w:rsidP="00851788">
      <w:pPr>
        <w:autoSpaceDE w:val="0"/>
        <w:autoSpaceDN w:val="0"/>
        <w:adjustRightInd w:val="0"/>
        <w:jc w:val="both"/>
        <w:rPr>
          <w:rFonts w:ascii="Arial" w:hAnsi="Arial" w:cs="Arial"/>
          <w:i/>
          <w:sz w:val="22"/>
          <w:szCs w:val="22"/>
        </w:rPr>
      </w:pPr>
      <w:r w:rsidRPr="00EA6CAB">
        <w:rPr>
          <w:rFonts w:ascii="Arial" w:hAnsi="Arial" w:cs="Arial"/>
          <w:i/>
          <w:sz w:val="22"/>
          <w:szCs w:val="22"/>
        </w:rPr>
        <w:t>NKÚ zjistil, že zákonná pětidenní lhůta pro oznámení ukončení dopravy příslušnému CÚ značně snižuje význam a efektivitu prováděných kontrol nejen při ukončení dopravy, ale i při zahájení dopravy a označování vybraných výrobků (dále také „v. v.“) celní závěrou. Celní úřady tato oprávnění využívaly zejména u daňových subjektů se stálým daňovým dozorem, které mají zaplombované výrobní zařízení osazené měřidly. Kontrola li</w:t>
      </w:r>
      <w:r w:rsidR="001B4593">
        <w:rPr>
          <w:rFonts w:ascii="Arial" w:hAnsi="Arial" w:cs="Arial"/>
          <w:i/>
          <w:sz w:val="22"/>
          <w:szCs w:val="22"/>
        </w:rPr>
        <w:t>hu při zahájení i </w:t>
      </w:r>
      <w:r w:rsidRPr="00EA6CAB">
        <w:rPr>
          <w:rFonts w:ascii="Arial" w:hAnsi="Arial" w:cs="Arial"/>
          <w:i/>
          <w:sz w:val="22"/>
          <w:szCs w:val="22"/>
        </w:rPr>
        <w:t>končení dopravy většinou prováděna nebyla. V případě, že při zahájení dopravy označil celní úřad líh nebo dopravní prostředek celní závěrou, nebyla kontrola v. v. a neporušenosti celní závěry provedena CÚ určení ihned při ukončení dopravy, a to v důsledku uvedené pětidenní oznamovací lhůty. Označení lihu při zahájení dopravy tak bylo formálním úkonem.</w:t>
      </w:r>
      <w:r w:rsidR="008D46B7">
        <w:rPr>
          <w:rFonts w:ascii="Arial" w:hAnsi="Arial" w:cs="Arial"/>
          <w:i/>
          <w:sz w:val="22"/>
          <w:szCs w:val="22"/>
        </w:rPr>
        <w:t>“</w:t>
      </w:r>
    </w:p>
    <w:p w14:paraId="29CF7C61" w14:textId="77777777" w:rsidR="0027393D" w:rsidRDefault="0027393D" w:rsidP="00C126A0">
      <w:pPr>
        <w:autoSpaceDE w:val="0"/>
        <w:autoSpaceDN w:val="0"/>
        <w:adjustRightInd w:val="0"/>
        <w:jc w:val="both"/>
        <w:outlineLvl w:val="0"/>
        <w:rPr>
          <w:rFonts w:ascii="Arial" w:hAnsi="Arial" w:cs="Arial"/>
          <w:b/>
          <w:noProof/>
          <w:sz w:val="22"/>
          <w:szCs w:val="22"/>
        </w:rPr>
      </w:pPr>
    </w:p>
    <w:p w14:paraId="17E36EB5" w14:textId="77777777" w:rsidR="006302FE" w:rsidRDefault="006302FE" w:rsidP="006302FE">
      <w:pPr>
        <w:autoSpaceDE w:val="0"/>
        <w:autoSpaceDN w:val="0"/>
        <w:adjustRightInd w:val="0"/>
        <w:jc w:val="both"/>
        <w:outlineLvl w:val="0"/>
        <w:rPr>
          <w:rFonts w:ascii="Arial" w:hAnsi="Arial" w:cs="Arial"/>
          <w:bCs/>
          <w:iCs/>
          <w:sz w:val="22"/>
          <w:szCs w:val="22"/>
          <w:u w:val="single"/>
        </w:rPr>
      </w:pPr>
      <w:r w:rsidRPr="00B209EB">
        <w:rPr>
          <w:rFonts w:ascii="Arial" w:hAnsi="Arial" w:cs="Arial"/>
          <w:bCs/>
          <w:iCs/>
          <w:sz w:val="22"/>
          <w:szCs w:val="22"/>
          <w:u w:val="single"/>
        </w:rPr>
        <w:t>Stanovisko:</w:t>
      </w:r>
    </w:p>
    <w:p w14:paraId="0B1AC496" w14:textId="77777777" w:rsidR="002E0CC8" w:rsidRPr="00C43C5B" w:rsidRDefault="002E0CC8" w:rsidP="002E0CC8">
      <w:pPr>
        <w:jc w:val="both"/>
        <w:rPr>
          <w:rFonts w:ascii="Arial" w:hAnsi="Arial" w:cs="Arial"/>
          <w:sz w:val="22"/>
          <w:szCs w:val="22"/>
        </w:rPr>
      </w:pPr>
      <w:r w:rsidRPr="00C43C5B">
        <w:rPr>
          <w:rFonts w:ascii="Arial" w:hAnsi="Arial" w:cs="Arial"/>
          <w:sz w:val="22"/>
          <w:szCs w:val="22"/>
        </w:rPr>
        <w:t xml:space="preserve">Povinnost správce daně evidovat přepravu lihu ve volném daňovém oběhu na daňovém území České republiky není s ohledem na to, že se jedná o výrobky již zdaněné, stanovena žádným právním předpisem. Příslušnými právními předpisy není stanovena povinnost hlásit na daňovém území České republiky správci daně přepravu zboží již uvedeného do režimu volného daňového oběhu. </w:t>
      </w:r>
    </w:p>
    <w:p w14:paraId="1CF47620" w14:textId="77777777" w:rsidR="002E0CC8" w:rsidRPr="00AE4217" w:rsidRDefault="002E0CC8" w:rsidP="002E0CC8">
      <w:pPr>
        <w:jc w:val="both"/>
        <w:rPr>
          <w:rFonts w:ascii="Arial" w:hAnsi="Arial" w:cs="Arial"/>
          <w:sz w:val="22"/>
          <w:szCs w:val="22"/>
        </w:rPr>
      </w:pPr>
      <w:r w:rsidRPr="00C43C5B">
        <w:rPr>
          <w:rFonts w:ascii="Arial" w:hAnsi="Arial" w:cs="Arial"/>
          <w:sz w:val="22"/>
          <w:szCs w:val="22"/>
        </w:rPr>
        <w:t>Zákon o spotřebních daních upravuje nakládání s již zdaněnými vybranými výrobky, přesně ukládá povinnost držení dokladů k prokázání zdanění vybraných výrobků spotřební daní. V případě, že existují pochybnosti, či je přímo zjištěno, že vybrané výrobky nebyly zdaněny, zákon o spotřebních daních řeší jejich zajištění, resp. zabrání. Vzhledem k tomu, že jedná o</w:t>
      </w:r>
      <w:r w:rsidR="00D125FB">
        <w:rPr>
          <w:rFonts w:ascii="Arial" w:hAnsi="Arial" w:cs="Arial"/>
          <w:sz w:val="22"/>
          <w:szCs w:val="22"/>
        </w:rPr>
        <w:t> </w:t>
      </w:r>
      <w:r w:rsidRPr="00C43C5B">
        <w:rPr>
          <w:rFonts w:ascii="Arial" w:hAnsi="Arial" w:cs="Arial"/>
          <w:sz w:val="22"/>
          <w:szCs w:val="22"/>
        </w:rPr>
        <w:t>zdaněné vybrané výrobky a jejich pohyb je doprovázen výše uvedenými doklady, opatření, která se k takovým výrobkům vztahují, jsou zaměřena na sledování osob s nimi nakládajících (koncesovaná živnost, skládání kaucí). Tato opatření se týkají osob nakládajících s lihem v řetězci s výjimkou konečného spotřebitele.</w:t>
      </w:r>
    </w:p>
    <w:p w14:paraId="696475FA" w14:textId="77777777" w:rsidR="006302FE" w:rsidRPr="008D46B7" w:rsidRDefault="006302FE" w:rsidP="006302FE">
      <w:pPr>
        <w:jc w:val="both"/>
        <w:rPr>
          <w:rFonts w:ascii="Arial" w:hAnsi="Arial" w:cs="Arial"/>
          <w:sz w:val="22"/>
          <w:szCs w:val="22"/>
        </w:rPr>
      </w:pPr>
      <w:r w:rsidRPr="008D46B7">
        <w:rPr>
          <w:rFonts w:ascii="Arial" w:hAnsi="Arial" w:cs="Arial"/>
          <w:sz w:val="22"/>
          <w:szCs w:val="22"/>
        </w:rPr>
        <w:t>Údaje o prováděných kontrolních činnostech ve vztahu k daňovému subjektu se evidují v evidencích CS (např. Kontrola přeprav, Sdružená podpora rozhodování, Hl</w:t>
      </w:r>
      <w:r w:rsidR="00873C9B">
        <w:rPr>
          <w:rFonts w:ascii="Arial" w:hAnsi="Arial" w:cs="Arial"/>
          <w:sz w:val="22"/>
          <w:szCs w:val="22"/>
        </w:rPr>
        <w:t xml:space="preserve">ásná služba, Mobilní dohled, </w:t>
      </w:r>
      <w:r w:rsidRPr="008D46B7">
        <w:rPr>
          <w:rFonts w:ascii="Arial" w:hAnsi="Arial" w:cs="Arial"/>
          <w:sz w:val="22"/>
          <w:szCs w:val="22"/>
        </w:rPr>
        <w:t xml:space="preserve">e-SAT). </w:t>
      </w:r>
    </w:p>
    <w:p w14:paraId="4E0ED52E" w14:textId="77777777" w:rsidR="006302FE" w:rsidRDefault="006302FE" w:rsidP="006302FE">
      <w:pPr>
        <w:jc w:val="both"/>
        <w:rPr>
          <w:rFonts w:ascii="Arial" w:hAnsi="Arial" w:cs="Arial"/>
          <w:sz w:val="22"/>
          <w:szCs w:val="22"/>
        </w:rPr>
      </w:pPr>
      <w:r w:rsidRPr="008D46B7">
        <w:rPr>
          <w:rFonts w:ascii="Arial" w:hAnsi="Arial" w:cs="Arial"/>
          <w:sz w:val="22"/>
          <w:szCs w:val="22"/>
        </w:rPr>
        <w:t xml:space="preserve">Doba přepravy je v komunitárním </w:t>
      </w:r>
      <w:r w:rsidR="00667AC4">
        <w:rPr>
          <w:rFonts w:ascii="Arial" w:hAnsi="Arial" w:cs="Arial"/>
          <w:sz w:val="22"/>
          <w:szCs w:val="22"/>
        </w:rPr>
        <w:t>právu nastavena nařízením Komise</w:t>
      </w:r>
      <w:r w:rsidRPr="008D46B7">
        <w:rPr>
          <w:rFonts w:ascii="Arial" w:hAnsi="Arial" w:cs="Arial"/>
          <w:sz w:val="22"/>
          <w:szCs w:val="22"/>
        </w:rPr>
        <w:t xml:space="preserve"> (ES) 684/2009, které jako maximální dobu přepravy stanoví 92 dní. Tento předpis je přímo aplikovatelný a lhůty není možné zkracovat. Definice doby dopravy je v evropské legislativě uvedena v nařízení Komise (ES) č. 684/2008, kterým se provádí směrnice Rady 2008/118/ES.  Směrnice Rady 2008/118/ES v úvodních zdůvodněních uvádí: „Postupy pro výběr a vrácení daně mají dopad na řádné fungování vnitřního trhu, a měly by proto dodržovat nediskriminační kritéria.“ S ohledem na tuto skutečnost je potřeba, aby dobu dopravy omezila evropská legislativa, ne pouze národní. Tudíž z uvedeného vyplývá, že doba dopravy nemůže být na národní úrovni </w:t>
      </w:r>
      <w:r w:rsidRPr="008D46B7">
        <w:rPr>
          <w:rFonts w:ascii="Arial" w:hAnsi="Arial" w:cs="Arial"/>
          <w:sz w:val="22"/>
          <w:szCs w:val="22"/>
        </w:rPr>
        <w:lastRenderedPageBreak/>
        <w:t>omezena, nicméně nepřiměřeně dlouhá doba dopravy může být jedním z kritérií pro analýzu rizik (systém ERIAN).</w:t>
      </w:r>
    </w:p>
    <w:p w14:paraId="2A152BFD" w14:textId="77777777" w:rsidR="002D148C" w:rsidRPr="008D46B7" w:rsidRDefault="002D148C" w:rsidP="002D148C">
      <w:pPr>
        <w:jc w:val="both"/>
        <w:rPr>
          <w:rFonts w:ascii="Arial" w:hAnsi="Arial" w:cs="Arial"/>
          <w:b/>
          <w:noProof/>
          <w:sz w:val="22"/>
          <w:szCs w:val="22"/>
        </w:rPr>
      </w:pPr>
      <w:r w:rsidRPr="008D46B7">
        <w:rPr>
          <w:rFonts w:ascii="Arial" w:hAnsi="Arial" w:cs="Arial"/>
          <w:sz w:val="22"/>
          <w:szCs w:val="22"/>
        </w:rPr>
        <w:t>Zástupci GŘC se dne 26. 2. 2015</w:t>
      </w:r>
      <w:r>
        <w:rPr>
          <w:rFonts w:ascii="Arial" w:hAnsi="Arial" w:cs="Arial"/>
          <w:sz w:val="22"/>
          <w:szCs w:val="22"/>
        </w:rPr>
        <w:t xml:space="preserve"> </w:t>
      </w:r>
      <w:r w:rsidRPr="008D46B7">
        <w:rPr>
          <w:rFonts w:ascii="Arial" w:hAnsi="Arial" w:cs="Arial"/>
          <w:sz w:val="22"/>
          <w:szCs w:val="22"/>
        </w:rPr>
        <w:t>zúčastnili jednání semináře na téma „Časové limity v EMCS“, organizovaném DG TAXUD. Komise vnímá nepřiměřeně dlouhou dobu dopravy jako problém, který je potřeba řešit plošně na úrovni EU. Vzhledem k tomu, že časový prostor semináře nebyl postačující k projednání všech bodů agendy, bude se v diskusi na toto téma pokračovat na dalších schůzkách. Na jednání pracovní skupiny expertů pro nepřímé daně jiné než DPH - ITEG (</w:t>
      </w:r>
      <w:proofErr w:type="spellStart"/>
      <w:r w:rsidRPr="008D46B7">
        <w:rPr>
          <w:rFonts w:ascii="Arial" w:hAnsi="Arial" w:cs="Arial"/>
          <w:sz w:val="22"/>
          <w:szCs w:val="22"/>
        </w:rPr>
        <w:t>Indirect</w:t>
      </w:r>
      <w:proofErr w:type="spellEnd"/>
      <w:r w:rsidRPr="008D46B7">
        <w:rPr>
          <w:rFonts w:ascii="Arial" w:hAnsi="Arial" w:cs="Arial"/>
          <w:sz w:val="22"/>
          <w:szCs w:val="22"/>
        </w:rPr>
        <w:t xml:space="preserve"> Tax Expert Group) byl vyjádřen názor, že před dalším jednáním na téma „doba dopravy“ je potřeba udělat analýzu ve všech členských zemích EU zaměřenou na zjištění obvyklé doby dopravy mezi členskými zeměmi, a také konzultovat toto téma také s obchodní veřejností.</w:t>
      </w:r>
      <w:r>
        <w:rPr>
          <w:rFonts w:ascii="Arial" w:hAnsi="Arial" w:cs="Arial"/>
          <w:sz w:val="22"/>
          <w:szCs w:val="22"/>
        </w:rPr>
        <w:t xml:space="preserve"> </w:t>
      </w:r>
      <w:r w:rsidRPr="008D46B7">
        <w:rPr>
          <w:rFonts w:ascii="Arial" w:hAnsi="Arial" w:cs="Arial"/>
          <w:sz w:val="22"/>
          <w:szCs w:val="22"/>
        </w:rPr>
        <w:t>Další pracovní jednání se uskutečnilo dne 18. 3. 2015.</w:t>
      </w:r>
      <w:r>
        <w:rPr>
          <w:rFonts w:ascii="Arial" w:hAnsi="Arial" w:cs="Arial"/>
          <w:sz w:val="22"/>
          <w:szCs w:val="22"/>
        </w:rPr>
        <w:t xml:space="preserve"> Obecně byla snaha České republiky o nápravu, avšak nebyla na úrovni EU akceptována. Evropská komise si uvědomuje, že doba dopravy je problém. Nicméně v současné době neexistuje legislativní způsob, jak dobu dopravy definovanou odesílatelem omezit. Tato oblast bude i nadále řešena na úrovni EU.</w:t>
      </w:r>
    </w:p>
    <w:p w14:paraId="0945606E" w14:textId="77777777" w:rsidR="007C1993" w:rsidRDefault="007C1993" w:rsidP="00C126A0">
      <w:pPr>
        <w:autoSpaceDE w:val="0"/>
        <w:autoSpaceDN w:val="0"/>
        <w:adjustRightInd w:val="0"/>
        <w:jc w:val="both"/>
        <w:outlineLvl w:val="0"/>
        <w:rPr>
          <w:rFonts w:ascii="Arial" w:hAnsi="Arial" w:cs="Arial"/>
          <w:b/>
          <w:noProof/>
          <w:sz w:val="22"/>
          <w:szCs w:val="22"/>
        </w:rPr>
      </w:pPr>
    </w:p>
    <w:p w14:paraId="4591156E" w14:textId="77777777" w:rsidR="001C1916" w:rsidRPr="008D46B7" w:rsidRDefault="001C1916" w:rsidP="00C126A0">
      <w:pPr>
        <w:autoSpaceDE w:val="0"/>
        <w:autoSpaceDN w:val="0"/>
        <w:adjustRightInd w:val="0"/>
        <w:jc w:val="both"/>
        <w:outlineLvl w:val="0"/>
        <w:rPr>
          <w:rFonts w:ascii="Arial" w:hAnsi="Arial" w:cs="Arial"/>
          <w:b/>
          <w:noProof/>
          <w:sz w:val="22"/>
          <w:szCs w:val="22"/>
        </w:rPr>
      </w:pPr>
    </w:p>
    <w:p w14:paraId="69F00303" w14:textId="77777777" w:rsidR="00EA6CAB" w:rsidRPr="00EA6CAB" w:rsidRDefault="00F340BF" w:rsidP="00F340BF">
      <w:pPr>
        <w:autoSpaceDE w:val="0"/>
        <w:autoSpaceDN w:val="0"/>
        <w:adjustRightInd w:val="0"/>
        <w:jc w:val="both"/>
        <w:outlineLvl w:val="0"/>
        <w:rPr>
          <w:rFonts w:ascii="Arial" w:hAnsi="Arial" w:cs="Arial"/>
          <w:b/>
          <w:bCs/>
          <w:sz w:val="22"/>
          <w:szCs w:val="22"/>
        </w:rPr>
      </w:pPr>
      <w:r>
        <w:rPr>
          <w:rFonts w:ascii="Arial" w:hAnsi="Arial" w:cs="Arial"/>
          <w:b/>
          <w:noProof/>
          <w:sz w:val="22"/>
          <w:szCs w:val="22"/>
        </w:rPr>
        <w:t xml:space="preserve">Bod 1d) </w:t>
      </w:r>
      <w:r w:rsidR="00C95F82" w:rsidRPr="00EA6CAB">
        <w:rPr>
          <w:rFonts w:ascii="Arial" w:hAnsi="Arial" w:cs="Arial"/>
          <w:b/>
          <w:bCs/>
          <w:sz w:val="22"/>
          <w:szCs w:val="22"/>
        </w:rPr>
        <w:t>Kontrola denaturace lihu</w:t>
      </w:r>
    </w:p>
    <w:p w14:paraId="37B07311" w14:textId="77777777" w:rsidR="007C1993" w:rsidRDefault="007C1993" w:rsidP="00EA6CAB">
      <w:pPr>
        <w:autoSpaceDE w:val="0"/>
        <w:autoSpaceDN w:val="0"/>
        <w:adjustRightInd w:val="0"/>
        <w:jc w:val="both"/>
        <w:rPr>
          <w:rFonts w:ascii="Arial" w:hAnsi="Arial" w:cs="Arial"/>
          <w:i/>
          <w:sz w:val="22"/>
          <w:szCs w:val="22"/>
          <w:u w:val="single"/>
        </w:rPr>
      </w:pPr>
    </w:p>
    <w:p w14:paraId="073B1903" w14:textId="77777777" w:rsidR="00EA6CAB" w:rsidRPr="00EA6CAB" w:rsidRDefault="008D46B7" w:rsidP="00EA6CAB">
      <w:pPr>
        <w:autoSpaceDE w:val="0"/>
        <w:autoSpaceDN w:val="0"/>
        <w:adjustRightInd w:val="0"/>
        <w:jc w:val="both"/>
        <w:rPr>
          <w:rFonts w:ascii="Arial" w:hAnsi="Arial" w:cs="Arial"/>
          <w:b/>
          <w:bCs/>
        </w:rPr>
      </w:pPr>
      <w:r>
        <w:rPr>
          <w:rFonts w:ascii="Arial" w:hAnsi="Arial" w:cs="Arial"/>
          <w:i/>
          <w:sz w:val="22"/>
          <w:szCs w:val="22"/>
          <w:u w:val="single"/>
        </w:rPr>
        <w:t>Zjištění NKÚ:</w:t>
      </w:r>
    </w:p>
    <w:p w14:paraId="013B46A9" w14:textId="77777777" w:rsidR="00C95F82" w:rsidRPr="00EA6CAB" w:rsidRDefault="008D46B7" w:rsidP="00EA6CAB">
      <w:pPr>
        <w:autoSpaceDE w:val="0"/>
        <w:autoSpaceDN w:val="0"/>
        <w:adjustRightInd w:val="0"/>
        <w:jc w:val="both"/>
        <w:rPr>
          <w:rFonts w:ascii="Arial" w:hAnsi="Arial" w:cs="Arial"/>
          <w:i/>
          <w:sz w:val="22"/>
          <w:szCs w:val="22"/>
        </w:rPr>
      </w:pPr>
      <w:r>
        <w:rPr>
          <w:rFonts w:ascii="Arial" w:hAnsi="Arial" w:cs="Arial"/>
          <w:i/>
          <w:sz w:val="22"/>
          <w:szCs w:val="22"/>
        </w:rPr>
        <w:t>„</w:t>
      </w:r>
      <w:r w:rsidR="00C95F82" w:rsidRPr="00EA6CAB">
        <w:rPr>
          <w:rFonts w:ascii="Arial" w:hAnsi="Arial" w:cs="Arial"/>
          <w:i/>
          <w:sz w:val="22"/>
          <w:szCs w:val="22"/>
        </w:rPr>
        <w:t>GŘC nevyužilo včas zákonné oprávnění dohodnout rozsah a způsob poskytnutí informací Ministerstvem zemědělství o subjektech denaturujících líh nebo majících povolenu výjimku k</w:t>
      </w:r>
      <w:r w:rsidR="00764F51">
        <w:rPr>
          <w:rFonts w:ascii="Arial" w:hAnsi="Arial" w:cs="Arial"/>
          <w:i/>
          <w:sz w:val="22"/>
          <w:szCs w:val="22"/>
        </w:rPr>
        <w:t> </w:t>
      </w:r>
      <w:r w:rsidR="00C95F82" w:rsidRPr="00EA6CAB">
        <w:rPr>
          <w:rFonts w:ascii="Arial" w:hAnsi="Arial" w:cs="Arial"/>
          <w:i/>
          <w:sz w:val="22"/>
          <w:szCs w:val="22"/>
        </w:rPr>
        <w:t xml:space="preserve">užití denaturačního prostředku. GŘC tyto informace zajišťovalo až od roku 2014, avšak nemělo je zcela kompletní. </w:t>
      </w:r>
    </w:p>
    <w:p w14:paraId="5A126835" w14:textId="77777777" w:rsidR="00C95F82" w:rsidRPr="00EA6CAB" w:rsidRDefault="00C95F82" w:rsidP="00C95F82">
      <w:pPr>
        <w:pStyle w:val="Default"/>
        <w:jc w:val="both"/>
        <w:rPr>
          <w:rFonts w:ascii="Arial" w:hAnsi="Arial" w:cs="Arial"/>
          <w:i/>
          <w:color w:val="auto"/>
          <w:sz w:val="22"/>
          <w:szCs w:val="22"/>
        </w:rPr>
      </w:pPr>
      <w:r w:rsidRPr="00EA6CAB">
        <w:rPr>
          <w:rFonts w:ascii="Arial" w:hAnsi="Arial" w:cs="Arial"/>
          <w:i/>
          <w:color w:val="auto"/>
          <w:sz w:val="22"/>
          <w:szCs w:val="22"/>
        </w:rPr>
        <w:t xml:space="preserve">Oblast denaturace a s ní spojený odběr vzorků před denaturací lihu a po ní (za účelem ověření lihu a denaturačního prostředku) GŘC aktivně řídilo až od 20. 10. 2010. Dva kontrolované CÚ však podle pokynů GŘC nepostupovaly a odebíraly vzorky v menším rozsahu, než bylo stanoveno. </w:t>
      </w:r>
    </w:p>
    <w:p w14:paraId="0F34968B" w14:textId="77777777" w:rsidR="00C95F82" w:rsidRPr="00EA6CAB" w:rsidRDefault="00C95F82" w:rsidP="00C95F82">
      <w:pPr>
        <w:pStyle w:val="Default"/>
        <w:numPr>
          <w:ilvl w:val="0"/>
          <w:numId w:val="2"/>
        </w:numPr>
        <w:jc w:val="both"/>
        <w:rPr>
          <w:rFonts w:ascii="Arial" w:hAnsi="Arial" w:cs="Arial"/>
          <w:i/>
          <w:color w:val="auto"/>
          <w:sz w:val="22"/>
          <w:szCs w:val="22"/>
        </w:rPr>
      </w:pPr>
      <w:r w:rsidRPr="00EA6CAB">
        <w:rPr>
          <w:rFonts w:ascii="Arial" w:hAnsi="Arial" w:cs="Arial"/>
          <w:i/>
          <w:color w:val="auto"/>
          <w:sz w:val="22"/>
          <w:szCs w:val="22"/>
        </w:rPr>
        <w:t>CÚ pro Zlínský kraj u vysoce rizikového daňového subjektu (zvláštního lihovaru) v</w:t>
      </w:r>
      <w:r w:rsidR="001B4593">
        <w:rPr>
          <w:rFonts w:ascii="Arial" w:hAnsi="Arial" w:cs="Arial"/>
          <w:i/>
          <w:color w:val="auto"/>
          <w:sz w:val="22"/>
          <w:szCs w:val="22"/>
        </w:rPr>
        <w:t> </w:t>
      </w:r>
      <w:r w:rsidRPr="00EA6CAB">
        <w:rPr>
          <w:rFonts w:ascii="Arial" w:hAnsi="Arial" w:cs="Arial"/>
          <w:i/>
          <w:color w:val="auto"/>
          <w:sz w:val="22"/>
          <w:szCs w:val="22"/>
        </w:rPr>
        <w:t>roce 2011 odebral 85 vzorků ze 119 denaturací, avšak jen dvakrát líh před denaturací a dvakrát denaturační činidlo. V roce 2012 odebral 33 vzorků z 96 denaturací, z toho 15krát před denaturací a čtyřikrát denaturační činidlo. CÚ odběr vzorků denaturačního činidla a lihu před jeho denaturací zvýšil v období 2011 a 2012 ve srovnání s předchozími roky jen minimálně, přestože rozborem odebraných vzorků byl ve dvou případech zjištěn nesprávný obsah denaturačního činidla v</w:t>
      </w:r>
      <w:r w:rsidR="001B4593">
        <w:rPr>
          <w:rFonts w:ascii="Arial" w:hAnsi="Arial" w:cs="Arial"/>
          <w:i/>
          <w:color w:val="auto"/>
          <w:sz w:val="22"/>
          <w:szCs w:val="22"/>
        </w:rPr>
        <w:t> </w:t>
      </w:r>
      <w:r w:rsidRPr="00EA6CAB">
        <w:rPr>
          <w:rFonts w:ascii="Arial" w:hAnsi="Arial" w:cs="Arial"/>
          <w:i/>
          <w:color w:val="auto"/>
          <w:sz w:val="22"/>
          <w:szCs w:val="22"/>
        </w:rPr>
        <w:t xml:space="preserve">denaturovaném lihu. </w:t>
      </w:r>
    </w:p>
    <w:p w14:paraId="6F8016E7" w14:textId="77777777" w:rsidR="00C95F82" w:rsidRPr="00EA6CAB" w:rsidRDefault="00C95F82" w:rsidP="00C95F82">
      <w:pPr>
        <w:pStyle w:val="Odstavecseseznamem"/>
        <w:numPr>
          <w:ilvl w:val="0"/>
          <w:numId w:val="3"/>
        </w:numPr>
        <w:autoSpaceDE w:val="0"/>
        <w:autoSpaceDN w:val="0"/>
        <w:adjustRightInd w:val="0"/>
        <w:jc w:val="both"/>
        <w:rPr>
          <w:rFonts w:ascii="Arial" w:hAnsi="Arial" w:cs="Arial"/>
          <w:i/>
          <w:sz w:val="22"/>
          <w:szCs w:val="22"/>
        </w:rPr>
      </w:pPr>
      <w:r w:rsidRPr="00EA6CAB">
        <w:rPr>
          <w:rFonts w:ascii="Arial" w:hAnsi="Arial" w:cs="Arial"/>
          <w:i/>
          <w:sz w:val="22"/>
          <w:szCs w:val="22"/>
        </w:rPr>
        <w:t xml:space="preserve">CÚ pro Olomoucký kraj v roce 2011 odebral vzorky v 18 případech ze 457 denaturací, z toho jen jednou líh před denaturací a jednou denaturační činidlo. V roce 2013 odebral vzorky v 9 případech z 556 denaturací, z toho jen jednou líh před denaturací. </w:t>
      </w:r>
    </w:p>
    <w:p w14:paraId="1FFB95E7" w14:textId="77777777" w:rsidR="00C95F82" w:rsidRPr="00EA6CAB" w:rsidRDefault="00C95F82" w:rsidP="00C95F82">
      <w:pPr>
        <w:autoSpaceDE w:val="0"/>
        <w:autoSpaceDN w:val="0"/>
        <w:adjustRightInd w:val="0"/>
        <w:jc w:val="both"/>
        <w:rPr>
          <w:rFonts w:ascii="Arial" w:hAnsi="Arial" w:cs="Arial"/>
          <w:i/>
          <w:sz w:val="22"/>
          <w:szCs w:val="22"/>
        </w:rPr>
      </w:pPr>
      <w:r w:rsidRPr="00EA6CAB">
        <w:rPr>
          <w:rFonts w:ascii="Arial" w:hAnsi="Arial" w:cs="Arial"/>
          <w:i/>
          <w:sz w:val="22"/>
          <w:szCs w:val="22"/>
        </w:rPr>
        <w:t>Podle údajů GŘC odebraly v roce 2014 CÚ vzorky před denaturací pouze u 7 % případů a</w:t>
      </w:r>
      <w:r w:rsidR="001B4593">
        <w:rPr>
          <w:rFonts w:ascii="Arial" w:hAnsi="Arial" w:cs="Arial"/>
          <w:i/>
          <w:sz w:val="22"/>
          <w:szCs w:val="22"/>
        </w:rPr>
        <w:t> </w:t>
      </w:r>
      <w:r w:rsidRPr="00EA6CAB">
        <w:rPr>
          <w:rFonts w:ascii="Arial" w:hAnsi="Arial" w:cs="Arial"/>
          <w:i/>
          <w:sz w:val="22"/>
          <w:szCs w:val="22"/>
        </w:rPr>
        <w:t xml:space="preserve">po denaturaci pouze u 5 % případů ze všech provedených denaturací. Pro období před rokem 2014 není u CÚ dostatek podkladů pro porovnání vývoje a vyhodnocení dostatečnosti činnosti CÚ. </w:t>
      </w:r>
    </w:p>
    <w:p w14:paraId="11B28DAC" w14:textId="77777777" w:rsidR="0027393D" w:rsidRDefault="00C95F82" w:rsidP="00C95F82">
      <w:pPr>
        <w:autoSpaceDE w:val="0"/>
        <w:autoSpaceDN w:val="0"/>
        <w:adjustRightInd w:val="0"/>
        <w:jc w:val="both"/>
        <w:outlineLvl w:val="0"/>
        <w:rPr>
          <w:rFonts w:ascii="Arial" w:hAnsi="Arial" w:cs="Arial"/>
          <w:i/>
          <w:sz w:val="22"/>
          <w:szCs w:val="22"/>
        </w:rPr>
      </w:pPr>
      <w:r w:rsidRPr="00EA6CAB">
        <w:rPr>
          <w:rFonts w:ascii="Arial" w:hAnsi="Arial" w:cs="Arial"/>
          <w:i/>
          <w:sz w:val="22"/>
          <w:szCs w:val="22"/>
        </w:rPr>
        <w:t>Právní úprava ani vnitřní akty řízení neřešily jednoznačným způsobem povinnost značit přepravní nádoby plombou při přepravě lihu v souvislosti s jeho denaturací. Nebylo jednoznačně stanoveno, zda plomby mají být umístěny na nádobách, ve kterých je líh přepravován k denaturaci nebo po denaturaci.</w:t>
      </w:r>
      <w:r w:rsidR="008D46B7">
        <w:rPr>
          <w:rFonts w:ascii="Arial" w:hAnsi="Arial" w:cs="Arial"/>
          <w:i/>
          <w:sz w:val="22"/>
          <w:szCs w:val="22"/>
        </w:rPr>
        <w:t>“</w:t>
      </w:r>
    </w:p>
    <w:p w14:paraId="09F1AF4B" w14:textId="77777777" w:rsidR="008D46B7" w:rsidRPr="00EA6CAB" w:rsidRDefault="008D46B7" w:rsidP="00C95F82">
      <w:pPr>
        <w:autoSpaceDE w:val="0"/>
        <w:autoSpaceDN w:val="0"/>
        <w:adjustRightInd w:val="0"/>
        <w:jc w:val="both"/>
        <w:outlineLvl w:val="0"/>
        <w:rPr>
          <w:rFonts w:ascii="Arial" w:hAnsi="Arial" w:cs="Arial"/>
          <w:b/>
          <w:i/>
          <w:noProof/>
          <w:sz w:val="22"/>
          <w:szCs w:val="22"/>
        </w:rPr>
      </w:pPr>
    </w:p>
    <w:p w14:paraId="17DE7F61" w14:textId="77777777" w:rsidR="00F340BF" w:rsidRPr="008D46B7" w:rsidRDefault="00F340BF" w:rsidP="00F340BF">
      <w:pPr>
        <w:autoSpaceDE w:val="0"/>
        <w:autoSpaceDN w:val="0"/>
        <w:adjustRightInd w:val="0"/>
        <w:jc w:val="both"/>
        <w:outlineLvl w:val="0"/>
        <w:rPr>
          <w:rFonts w:ascii="Arial" w:hAnsi="Arial" w:cs="Arial"/>
          <w:sz w:val="22"/>
          <w:szCs w:val="22"/>
        </w:rPr>
      </w:pPr>
      <w:r w:rsidRPr="008D46B7">
        <w:rPr>
          <w:rFonts w:ascii="Arial" w:hAnsi="Arial" w:cs="Arial"/>
          <w:bCs/>
          <w:iCs/>
          <w:sz w:val="22"/>
          <w:szCs w:val="22"/>
          <w:u w:val="single"/>
        </w:rPr>
        <w:t>Stanovisko:</w:t>
      </w:r>
    </w:p>
    <w:p w14:paraId="4DC96961" w14:textId="77777777" w:rsidR="00F340BF" w:rsidRDefault="00F340BF" w:rsidP="00F340BF">
      <w:pPr>
        <w:jc w:val="both"/>
        <w:rPr>
          <w:rFonts w:ascii="Arial" w:hAnsi="Arial" w:cs="Arial"/>
          <w:sz w:val="22"/>
          <w:szCs w:val="22"/>
        </w:rPr>
      </w:pPr>
      <w:r w:rsidRPr="008D46B7">
        <w:rPr>
          <w:rFonts w:ascii="Arial" w:hAnsi="Arial" w:cs="Arial"/>
          <w:sz w:val="22"/>
          <w:szCs w:val="22"/>
        </w:rPr>
        <w:t>Jsme si vědomi. Byla přijata nápravná, kontrolní a preventivní opatření</w:t>
      </w:r>
      <w:r w:rsidR="00E44413">
        <w:rPr>
          <w:rFonts w:ascii="Arial" w:hAnsi="Arial" w:cs="Arial"/>
          <w:sz w:val="22"/>
          <w:szCs w:val="22"/>
        </w:rPr>
        <w:t>,</w:t>
      </w:r>
      <w:r w:rsidRPr="008D46B7">
        <w:rPr>
          <w:rFonts w:ascii="Arial" w:hAnsi="Arial" w:cs="Arial"/>
          <w:sz w:val="22"/>
          <w:szCs w:val="22"/>
        </w:rPr>
        <w:t xml:space="preserve"> a to před vypracováním kontrolní</w:t>
      </w:r>
      <w:r w:rsidR="00D916EE">
        <w:rPr>
          <w:rFonts w:ascii="Arial" w:hAnsi="Arial" w:cs="Arial"/>
          <w:sz w:val="22"/>
          <w:szCs w:val="22"/>
        </w:rPr>
        <w:t>ho</w:t>
      </w:r>
      <w:r w:rsidRPr="008D46B7">
        <w:rPr>
          <w:rFonts w:ascii="Arial" w:hAnsi="Arial" w:cs="Arial"/>
          <w:sz w:val="22"/>
          <w:szCs w:val="22"/>
        </w:rPr>
        <w:t xml:space="preserve"> </w:t>
      </w:r>
      <w:r w:rsidR="002E0A47">
        <w:rPr>
          <w:rFonts w:ascii="Arial" w:hAnsi="Arial" w:cs="Arial"/>
          <w:sz w:val="22"/>
          <w:szCs w:val="22"/>
        </w:rPr>
        <w:t>protokol</w:t>
      </w:r>
      <w:r w:rsidR="00D916EE">
        <w:rPr>
          <w:rFonts w:ascii="Arial" w:hAnsi="Arial" w:cs="Arial"/>
          <w:sz w:val="22"/>
          <w:szCs w:val="22"/>
        </w:rPr>
        <w:t>u</w:t>
      </w:r>
      <w:r w:rsidR="00C159E3">
        <w:rPr>
          <w:rFonts w:ascii="Arial" w:hAnsi="Arial" w:cs="Arial"/>
          <w:sz w:val="22"/>
          <w:szCs w:val="22"/>
        </w:rPr>
        <w:t xml:space="preserve"> </w:t>
      </w:r>
      <w:r w:rsidRPr="008D46B7">
        <w:rPr>
          <w:rFonts w:ascii="Arial" w:hAnsi="Arial" w:cs="Arial"/>
          <w:sz w:val="22"/>
          <w:szCs w:val="22"/>
        </w:rPr>
        <w:t>NKÚ.</w:t>
      </w:r>
      <w:r w:rsidR="002E0A47">
        <w:rPr>
          <w:rFonts w:ascii="Arial" w:hAnsi="Arial" w:cs="Arial"/>
          <w:sz w:val="22"/>
          <w:szCs w:val="22"/>
        </w:rPr>
        <w:t xml:space="preserve"> </w:t>
      </w:r>
      <w:r w:rsidR="005F3973">
        <w:rPr>
          <w:rFonts w:ascii="Arial" w:hAnsi="Arial" w:cs="Arial"/>
          <w:sz w:val="22"/>
          <w:szCs w:val="22"/>
        </w:rPr>
        <w:t>Kontrolní a preventivní opatření byla předložena NKÚ.</w:t>
      </w:r>
    </w:p>
    <w:p w14:paraId="42DC9078" w14:textId="77777777" w:rsidR="00F340BF" w:rsidRPr="008D46B7" w:rsidRDefault="00A6740C" w:rsidP="00F340BF">
      <w:pPr>
        <w:jc w:val="both"/>
        <w:rPr>
          <w:rFonts w:ascii="Arial" w:hAnsi="Arial" w:cs="Arial"/>
          <w:sz w:val="22"/>
          <w:szCs w:val="22"/>
        </w:rPr>
      </w:pPr>
      <w:r>
        <w:rPr>
          <w:rFonts w:ascii="Arial" w:hAnsi="Arial" w:cs="Arial"/>
          <w:sz w:val="22"/>
          <w:szCs w:val="22"/>
        </w:rPr>
        <w:t>Dne</w:t>
      </w:r>
      <w:r w:rsidRPr="008D46B7">
        <w:rPr>
          <w:rFonts w:ascii="Arial" w:hAnsi="Arial" w:cs="Arial"/>
          <w:sz w:val="22"/>
          <w:szCs w:val="22"/>
        </w:rPr>
        <w:t xml:space="preserve"> </w:t>
      </w:r>
      <w:r w:rsidR="00F340BF" w:rsidRPr="008D46B7">
        <w:rPr>
          <w:rFonts w:ascii="Arial" w:hAnsi="Arial" w:cs="Arial"/>
          <w:sz w:val="22"/>
          <w:szCs w:val="22"/>
        </w:rPr>
        <w:t xml:space="preserve">19. 5. 2014 byl vydán rozkaz generálního ředitele č. 30/2014, kterým </w:t>
      </w:r>
      <w:r w:rsidR="00044C45">
        <w:rPr>
          <w:rFonts w:ascii="Arial" w:hAnsi="Arial" w:cs="Arial"/>
          <w:sz w:val="22"/>
          <w:szCs w:val="22"/>
        </w:rPr>
        <w:t>byla</w:t>
      </w:r>
      <w:r w:rsidR="00F340BF" w:rsidRPr="008D46B7">
        <w:rPr>
          <w:rFonts w:ascii="Arial" w:hAnsi="Arial" w:cs="Arial"/>
          <w:sz w:val="22"/>
          <w:szCs w:val="22"/>
        </w:rPr>
        <w:t xml:space="preserve"> </w:t>
      </w:r>
      <w:r>
        <w:rPr>
          <w:rFonts w:ascii="Arial" w:hAnsi="Arial" w:cs="Arial"/>
          <w:sz w:val="22"/>
          <w:szCs w:val="22"/>
        </w:rPr>
        <w:t xml:space="preserve">mj. </w:t>
      </w:r>
      <w:r w:rsidR="00044C45">
        <w:rPr>
          <w:rFonts w:ascii="Arial" w:hAnsi="Arial" w:cs="Arial"/>
          <w:sz w:val="22"/>
          <w:szCs w:val="22"/>
        </w:rPr>
        <w:t xml:space="preserve">upravena </w:t>
      </w:r>
      <w:r w:rsidR="00F340BF" w:rsidRPr="008D46B7">
        <w:rPr>
          <w:rFonts w:ascii="Arial" w:hAnsi="Arial" w:cs="Arial"/>
          <w:sz w:val="22"/>
          <w:szCs w:val="22"/>
        </w:rPr>
        <w:t xml:space="preserve">činnost pracovníků správce daně, personální obsazení kontrolních skupin, odběr vzorků. </w:t>
      </w:r>
      <w:r w:rsidR="00F340BF" w:rsidRPr="008D46B7">
        <w:rPr>
          <w:rFonts w:ascii="Arial" w:hAnsi="Arial" w:cs="Arial"/>
          <w:sz w:val="22"/>
          <w:szCs w:val="22"/>
        </w:rPr>
        <w:lastRenderedPageBreak/>
        <w:t>Současně byla zavedena povinnost pořizovat kamerový záznam z prováděné denaturace a</w:t>
      </w:r>
      <w:r w:rsidR="00D125FB">
        <w:rPr>
          <w:rFonts w:ascii="Arial" w:hAnsi="Arial" w:cs="Arial"/>
          <w:sz w:val="22"/>
          <w:szCs w:val="22"/>
        </w:rPr>
        <w:t> </w:t>
      </w:r>
      <w:r w:rsidR="00F340BF" w:rsidRPr="008D46B7">
        <w:rPr>
          <w:rFonts w:ascii="Arial" w:hAnsi="Arial" w:cs="Arial"/>
          <w:sz w:val="22"/>
          <w:szCs w:val="22"/>
        </w:rPr>
        <w:t>ten následně vyhodnocovat služebním funkcionářem.</w:t>
      </w:r>
    </w:p>
    <w:p w14:paraId="229F2A75" w14:textId="77777777" w:rsidR="00F340BF" w:rsidRPr="00C43C5B" w:rsidRDefault="00A6740C" w:rsidP="00F340BF">
      <w:pPr>
        <w:jc w:val="both"/>
        <w:rPr>
          <w:rFonts w:ascii="Arial" w:hAnsi="Arial" w:cs="Arial"/>
          <w:sz w:val="22"/>
          <w:szCs w:val="22"/>
        </w:rPr>
      </w:pPr>
      <w:r>
        <w:rPr>
          <w:rFonts w:ascii="Arial" w:hAnsi="Arial" w:cs="Arial"/>
          <w:sz w:val="22"/>
          <w:szCs w:val="22"/>
        </w:rPr>
        <w:t>Dne</w:t>
      </w:r>
      <w:r w:rsidRPr="008D46B7">
        <w:rPr>
          <w:rFonts w:ascii="Arial" w:hAnsi="Arial" w:cs="Arial"/>
          <w:sz w:val="22"/>
          <w:szCs w:val="22"/>
        </w:rPr>
        <w:t xml:space="preserve"> </w:t>
      </w:r>
      <w:r w:rsidR="00F340BF" w:rsidRPr="008D46B7">
        <w:rPr>
          <w:rFonts w:ascii="Arial" w:hAnsi="Arial" w:cs="Arial"/>
          <w:sz w:val="22"/>
          <w:szCs w:val="22"/>
        </w:rPr>
        <w:t xml:space="preserve">2. 4. 2015 byla rozkazem generálního ředitele č. 39/2015 ustanovena na GŘC pracovní skupina „Denaturace“, která provedla zhodnocení stávajícího stavu a provádí kontrolní </w:t>
      </w:r>
      <w:r w:rsidR="00F340BF" w:rsidRPr="00C43C5B">
        <w:rPr>
          <w:rFonts w:ascii="Arial" w:hAnsi="Arial" w:cs="Arial"/>
          <w:sz w:val="22"/>
          <w:szCs w:val="22"/>
        </w:rPr>
        <w:t xml:space="preserve">činnost celních úřadů v rámci denaturací. </w:t>
      </w:r>
    </w:p>
    <w:p w14:paraId="4F2C7C55" w14:textId="77777777" w:rsidR="0027393D" w:rsidRPr="008D46B7" w:rsidRDefault="00F340BF" w:rsidP="00F340BF">
      <w:pPr>
        <w:autoSpaceDE w:val="0"/>
        <w:autoSpaceDN w:val="0"/>
        <w:adjustRightInd w:val="0"/>
        <w:jc w:val="both"/>
        <w:outlineLvl w:val="0"/>
        <w:rPr>
          <w:rFonts w:ascii="Arial" w:hAnsi="Arial" w:cs="Arial"/>
          <w:b/>
          <w:noProof/>
          <w:sz w:val="22"/>
          <w:szCs w:val="22"/>
        </w:rPr>
      </w:pPr>
      <w:r w:rsidRPr="00C43C5B">
        <w:rPr>
          <w:rFonts w:ascii="Arial" w:hAnsi="Arial" w:cs="Arial"/>
          <w:sz w:val="22"/>
          <w:szCs w:val="22"/>
        </w:rPr>
        <w:t>V letech 2014 a 2015 provádělo GŘC vyhodnocení četnosti použití jednotlivých denaturačních činidel v návaznosti na konkrétní účel použití takto zvláštně denaturovaného lihu. Výstupem z této činnosti byl návrh na změnu Přílohy č. 2 vyhlášky 141/1997 Sb., o</w:t>
      </w:r>
      <w:r w:rsidR="00B1543A" w:rsidRPr="00C43C5B">
        <w:rPr>
          <w:rFonts w:ascii="Arial" w:hAnsi="Arial" w:cs="Arial"/>
          <w:sz w:val="22"/>
          <w:szCs w:val="22"/>
        </w:rPr>
        <w:t> </w:t>
      </w:r>
      <w:r w:rsidRPr="00C43C5B">
        <w:rPr>
          <w:rFonts w:ascii="Arial" w:hAnsi="Arial" w:cs="Arial"/>
          <w:sz w:val="22"/>
          <w:szCs w:val="22"/>
        </w:rPr>
        <w:t>technických požadavcích na výrobu, skladování a zpracování lihu, v platném znění. Změna byla ve 42. týdnu</w:t>
      </w:r>
      <w:r w:rsidR="00A6740C" w:rsidRPr="00C43C5B">
        <w:rPr>
          <w:rFonts w:ascii="Arial" w:hAnsi="Arial" w:cs="Arial"/>
          <w:sz w:val="22"/>
          <w:szCs w:val="22"/>
        </w:rPr>
        <w:t xml:space="preserve"> roku 2015</w:t>
      </w:r>
      <w:r w:rsidRPr="00C43C5B">
        <w:rPr>
          <w:rFonts w:ascii="Arial" w:hAnsi="Arial" w:cs="Arial"/>
          <w:sz w:val="22"/>
          <w:szCs w:val="22"/>
        </w:rPr>
        <w:t xml:space="preserve"> projednána s Ministerstvem zemědělství,</w:t>
      </w:r>
      <w:r w:rsidR="00044C45" w:rsidRPr="00C43C5B">
        <w:rPr>
          <w:rFonts w:ascii="Arial" w:hAnsi="Arial" w:cs="Arial"/>
          <w:sz w:val="22"/>
          <w:szCs w:val="22"/>
        </w:rPr>
        <w:t xml:space="preserve"> v jehož gesci je tento právní předpis</w:t>
      </w:r>
      <w:r w:rsidRPr="00C43C5B">
        <w:rPr>
          <w:rFonts w:ascii="Arial" w:hAnsi="Arial" w:cs="Arial"/>
          <w:sz w:val="22"/>
          <w:szCs w:val="22"/>
        </w:rPr>
        <w:t xml:space="preserve"> a které po projednání návrhu GŘC s provedením úprav souhlasí.</w:t>
      </w:r>
    </w:p>
    <w:p w14:paraId="78AA9AB3" w14:textId="77777777" w:rsidR="00C95F82" w:rsidRPr="00EA6CAB" w:rsidRDefault="008D46B7" w:rsidP="00C95F82">
      <w:pPr>
        <w:pStyle w:val="Default"/>
        <w:jc w:val="both"/>
        <w:rPr>
          <w:rFonts w:ascii="Arial" w:hAnsi="Arial" w:cs="Arial"/>
          <w:b/>
          <w:bCs/>
          <w:color w:val="auto"/>
          <w:sz w:val="22"/>
          <w:szCs w:val="22"/>
        </w:rPr>
      </w:pPr>
      <w:r>
        <w:rPr>
          <w:rFonts w:ascii="Arial" w:hAnsi="Arial" w:cs="Arial"/>
          <w:b/>
          <w:bCs/>
          <w:color w:val="auto"/>
          <w:sz w:val="22"/>
          <w:szCs w:val="22"/>
        </w:rPr>
        <w:t>Bod 1</w:t>
      </w:r>
      <w:r w:rsidR="00F340BF">
        <w:rPr>
          <w:rFonts w:ascii="Arial" w:hAnsi="Arial" w:cs="Arial"/>
          <w:b/>
          <w:bCs/>
          <w:color w:val="auto"/>
          <w:sz w:val="22"/>
          <w:szCs w:val="22"/>
        </w:rPr>
        <w:t xml:space="preserve">e) </w:t>
      </w:r>
      <w:r w:rsidR="00C95F82" w:rsidRPr="00EA6CAB">
        <w:rPr>
          <w:rFonts w:ascii="Arial" w:hAnsi="Arial" w:cs="Arial"/>
          <w:b/>
          <w:bCs/>
          <w:color w:val="auto"/>
          <w:sz w:val="22"/>
          <w:szCs w:val="22"/>
        </w:rPr>
        <w:t>Povinnost vybavit místa značení lihu sledovacím zařízením</w:t>
      </w:r>
    </w:p>
    <w:p w14:paraId="43FDAC5B" w14:textId="77777777" w:rsidR="00030791" w:rsidRDefault="00030791" w:rsidP="00EA6CAB">
      <w:pPr>
        <w:autoSpaceDE w:val="0"/>
        <w:autoSpaceDN w:val="0"/>
        <w:adjustRightInd w:val="0"/>
        <w:jc w:val="both"/>
        <w:rPr>
          <w:rFonts w:ascii="Arial" w:hAnsi="Arial" w:cs="Arial"/>
          <w:i/>
          <w:sz w:val="22"/>
          <w:szCs w:val="22"/>
          <w:u w:val="single"/>
        </w:rPr>
      </w:pPr>
    </w:p>
    <w:p w14:paraId="75C9E51D" w14:textId="77777777" w:rsidR="00EA6CAB" w:rsidRPr="00EA6CAB" w:rsidRDefault="00EA6CAB" w:rsidP="00EA6CAB">
      <w:pPr>
        <w:autoSpaceDE w:val="0"/>
        <w:autoSpaceDN w:val="0"/>
        <w:adjustRightInd w:val="0"/>
        <w:jc w:val="both"/>
        <w:rPr>
          <w:rFonts w:ascii="Arial" w:hAnsi="Arial" w:cs="Arial"/>
          <w:b/>
          <w:bCs/>
          <w:sz w:val="22"/>
          <w:szCs w:val="22"/>
        </w:rPr>
      </w:pPr>
      <w:r w:rsidRPr="00EA6CAB">
        <w:rPr>
          <w:rFonts w:ascii="Arial" w:hAnsi="Arial" w:cs="Arial"/>
          <w:i/>
          <w:sz w:val="22"/>
          <w:szCs w:val="22"/>
          <w:u w:val="single"/>
        </w:rPr>
        <w:t>Zjištění NKÚ</w:t>
      </w:r>
      <w:r w:rsidR="008D46B7">
        <w:rPr>
          <w:rFonts w:ascii="Arial" w:hAnsi="Arial" w:cs="Arial"/>
          <w:i/>
          <w:sz w:val="22"/>
          <w:szCs w:val="22"/>
          <w:u w:val="single"/>
        </w:rPr>
        <w:t>:</w:t>
      </w:r>
    </w:p>
    <w:p w14:paraId="5D67835E" w14:textId="77777777" w:rsidR="00C95F82" w:rsidRPr="00EA6CAB" w:rsidRDefault="008D46B7" w:rsidP="00C95F82">
      <w:pPr>
        <w:pStyle w:val="Default"/>
        <w:jc w:val="both"/>
        <w:rPr>
          <w:rFonts w:ascii="Arial" w:hAnsi="Arial" w:cs="Arial"/>
          <w:i/>
          <w:color w:val="auto"/>
          <w:sz w:val="22"/>
          <w:szCs w:val="22"/>
        </w:rPr>
      </w:pPr>
      <w:r>
        <w:rPr>
          <w:rFonts w:ascii="Arial" w:hAnsi="Arial" w:cs="Arial"/>
          <w:i/>
          <w:color w:val="auto"/>
          <w:sz w:val="22"/>
          <w:szCs w:val="22"/>
        </w:rPr>
        <w:t>„</w:t>
      </w:r>
      <w:r w:rsidR="00C95F82" w:rsidRPr="00EA6CAB">
        <w:rPr>
          <w:rFonts w:ascii="Arial" w:hAnsi="Arial" w:cs="Arial"/>
          <w:i/>
          <w:color w:val="auto"/>
          <w:sz w:val="22"/>
          <w:szCs w:val="22"/>
        </w:rPr>
        <w:t xml:space="preserve">U kontrolovaných CÚ bylo zjištěno, že v rozporu se zákonem vybavilo místa značení lihu sledovacím zařízením v zákonné lhůtě tří měsíců od účinnosti této povinnosti pouze 5 % osob povinných značit líh (dále také „OPZL“) a 73 % těchto osob tak učinilo po deseti měsících. Pokynem GŘC, aniž GŘC mělo zákonné zmocnění, bylo splnění této zákonné povinnosti odsunuto cca o jeden rok. </w:t>
      </w:r>
    </w:p>
    <w:p w14:paraId="67279479" w14:textId="77777777" w:rsidR="00C95F82" w:rsidRPr="00EA6CAB" w:rsidRDefault="00C95F82" w:rsidP="00C95F82">
      <w:pPr>
        <w:pStyle w:val="Default"/>
        <w:jc w:val="both"/>
        <w:rPr>
          <w:rFonts w:ascii="Arial" w:hAnsi="Arial" w:cs="Arial"/>
          <w:i/>
          <w:color w:val="auto"/>
          <w:sz w:val="22"/>
          <w:szCs w:val="22"/>
        </w:rPr>
      </w:pPr>
      <w:r w:rsidRPr="00EA6CAB">
        <w:rPr>
          <w:rFonts w:ascii="Arial" w:hAnsi="Arial" w:cs="Arial"/>
          <w:i/>
          <w:color w:val="auto"/>
          <w:sz w:val="22"/>
          <w:szCs w:val="22"/>
        </w:rPr>
        <w:t xml:space="preserve">MF opakovaně vyjádřilo názor, že CÚ mohou u subjektů s nízkým rizikem stanovit stupeň vybavenosti sledovacím zařízením v rozsahu „nula“ (tedy bez sledovacího zařízení). Právními předpisy ani pokyny MF nebo GŘC nebyla ale pro takové rozhodnutí nastavena kritéria. </w:t>
      </w:r>
    </w:p>
    <w:p w14:paraId="7477D24D" w14:textId="77777777" w:rsidR="00C95F82" w:rsidRPr="00EA6CAB" w:rsidRDefault="00C95F82" w:rsidP="00C95F82">
      <w:pPr>
        <w:pStyle w:val="Default"/>
        <w:jc w:val="both"/>
        <w:rPr>
          <w:rFonts w:ascii="Arial" w:hAnsi="Arial" w:cs="Arial"/>
          <w:i/>
          <w:color w:val="auto"/>
          <w:sz w:val="22"/>
          <w:szCs w:val="22"/>
        </w:rPr>
      </w:pPr>
      <w:r w:rsidRPr="00EA6CAB">
        <w:rPr>
          <w:rFonts w:ascii="Arial" w:hAnsi="Arial" w:cs="Arial"/>
          <w:i/>
          <w:color w:val="auto"/>
          <w:sz w:val="22"/>
          <w:szCs w:val="22"/>
        </w:rPr>
        <w:t>GŘC a CÚ interně zařadily OPZL do tří kategorií dle jejich rizikovosti a nastavily rozsah využití sledovacího zařízení. Ze 155 subjektů zařadilo GŘC do kategorie vysoké riziko 13 subjektů a do kategorie střední riziko 33 subjektů a zbývající do kategorie nízké riziko. Na sledování on-line přenosů z těchto zařízení musely CÚ vyčlenit relativně početný personál, např. CÚ pro Středočeský kraj pro 35 OPZL vyčlenil v průměru 3,4 pracovníky/den a CÚ pro Jihomoravský kraj pro 17 OPZL vyčlenil tři pracovníky/den. NKÚ zjistil, že minimálně u šesti kontrolovaných CÚ jsou záznamy ze sledovacích zařízení z důvodu nedostatečné technické funkčnosti přenosu dat obtížně využitelné.</w:t>
      </w:r>
      <w:r w:rsidR="008D46B7">
        <w:rPr>
          <w:rFonts w:ascii="Arial" w:hAnsi="Arial" w:cs="Arial"/>
          <w:i/>
          <w:color w:val="auto"/>
          <w:sz w:val="22"/>
          <w:szCs w:val="22"/>
        </w:rPr>
        <w:t>“</w:t>
      </w:r>
    </w:p>
    <w:p w14:paraId="33CBC6D7" w14:textId="77777777" w:rsidR="008D46B7" w:rsidRDefault="008D46B7" w:rsidP="00F340BF">
      <w:pPr>
        <w:autoSpaceDE w:val="0"/>
        <w:autoSpaceDN w:val="0"/>
        <w:adjustRightInd w:val="0"/>
        <w:jc w:val="both"/>
        <w:outlineLvl w:val="0"/>
        <w:rPr>
          <w:rFonts w:ascii="Arial" w:hAnsi="Arial" w:cs="Arial"/>
          <w:bCs/>
          <w:iCs/>
          <w:sz w:val="22"/>
          <w:szCs w:val="22"/>
          <w:u w:val="single"/>
        </w:rPr>
      </w:pPr>
    </w:p>
    <w:p w14:paraId="2B97EB1E" w14:textId="77777777" w:rsidR="00F340BF" w:rsidRPr="008D46B7" w:rsidRDefault="00F340BF" w:rsidP="00F340BF">
      <w:pPr>
        <w:autoSpaceDE w:val="0"/>
        <w:autoSpaceDN w:val="0"/>
        <w:adjustRightInd w:val="0"/>
        <w:jc w:val="both"/>
        <w:outlineLvl w:val="0"/>
        <w:rPr>
          <w:rFonts w:ascii="Arial" w:hAnsi="Arial" w:cs="Arial"/>
          <w:sz w:val="22"/>
          <w:szCs w:val="22"/>
        </w:rPr>
      </w:pPr>
      <w:r w:rsidRPr="008D46B7">
        <w:rPr>
          <w:rFonts w:ascii="Arial" w:hAnsi="Arial" w:cs="Arial"/>
          <w:bCs/>
          <w:iCs/>
          <w:sz w:val="22"/>
          <w:szCs w:val="22"/>
          <w:u w:val="single"/>
        </w:rPr>
        <w:t>Stanovisko:</w:t>
      </w:r>
    </w:p>
    <w:p w14:paraId="7E239C89" w14:textId="77777777" w:rsidR="00F340BF" w:rsidRPr="008D46B7" w:rsidRDefault="00F340BF" w:rsidP="00F340BF">
      <w:pPr>
        <w:jc w:val="both"/>
        <w:rPr>
          <w:rFonts w:ascii="Arial" w:hAnsi="Arial" w:cs="Arial"/>
          <w:sz w:val="22"/>
          <w:szCs w:val="22"/>
        </w:rPr>
      </w:pPr>
      <w:r w:rsidRPr="008D46B7">
        <w:rPr>
          <w:rFonts w:ascii="Arial" w:hAnsi="Arial" w:cs="Arial"/>
          <w:sz w:val="22"/>
          <w:szCs w:val="22"/>
        </w:rPr>
        <w:t xml:space="preserve">Odložení povinnosti, respektive stanovení lhůty pro pořízení kamerových systémů, bylo reakcí na krátkou </w:t>
      </w:r>
      <w:proofErr w:type="spellStart"/>
      <w:r w:rsidRPr="008D46B7">
        <w:rPr>
          <w:rFonts w:ascii="Arial" w:hAnsi="Arial" w:cs="Arial"/>
          <w:sz w:val="22"/>
          <w:szCs w:val="22"/>
        </w:rPr>
        <w:t>legisvakanční</w:t>
      </w:r>
      <w:proofErr w:type="spellEnd"/>
      <w:r w:rsidRPr="008D46B7">
        <w:rPr>
          <w:rFonts w:ascii="Arial" w:hAnsi="Arial" w:cs="Arial"/>
          <w:sz w:val="22"/>
          <w:szCs w:val="22"/>
        </w:rPr>
        <w:t xml:space="preserve"> lhůtu a přechodné období. Rozdělení subjektů do skupin dle rizikovosti bylo provedeno v souladu se systémem řízení výkonných rizik.</w:t>
      </w:r>
    </w:p>
    <w:p w14:paraId="37392E47" w14:textId="77777777" w:rsidR="00F340BF" w:rsidRPr="008D46B7" w:rsidRDefault="005F3973" w:rsidP="00F340BF">
      <w:pPr>
        <w:jc w:val="both"/>
        <w:rPr>
          <w:rFonts w:ascii="Arial" w:hAnsi="Arial" w:cs="Arial"/>
          <w:sz w:val="22"/>
          <w:szCs w:val="22"/>
        </w:rPr>
      </w:pPr>
      <w:r>
        <w:rPr>
          <w:rFonts w:ascii="Arial" w:hAnsi="Arial" w:cs="Arial"/>
          <w:sz w:val="22"/>
          <w:szCs w:val="22"/>
        </w:rPr>
        <w:t xml:space="preserve">V průběhu roku 2014 byla tato povinnost </w:t>
      </w:r>
      <w:r w:rsidR="00C159E3">
        <w:rPr>
          <w:rFonts w:ascii="Arial" w:hAnsi="Arial" w:cs="Arial"/>
          <w:sz w:val="22"/>
          <w:szCs w:val="22"/>
        </w:rPr>
        <w:t xml:space="preserve">u všech daňových subjektů </w:t>
      </w:r>
      <w:r>
        <w:rPr>
          <w:rFonts w:ascii="Arial" w:hAnsi="Arial" w:cs="Arial"/>
          <w:sz w:val="22"/>
          <w:szCs w:val="22"/>
        </w:rPr>
        <w:t>splněna</w:t>
      </w:r>
      <w:r w:rsidR="00C159E3">
        <w:rPr>
          <w:rFonts w:ascii="Arial" w:hAnsi="Arial" w:cs="Arial"/>
          <w:sz w:val="22"/>
          <w:szCs w:val="22"/>
        </w:rPr>
        <w:t xml:space="preserve"> nezávisle na zjištění NKÚ</w:t>
      </w:r>
      <w:r>
        <w:rPr>
          <w:rFonts w:ascii="Arial" w:hAnsi="Arial" w:cs="Arial"/>
          <w:sz w:val="22"/>
          <w:szCs w:val="22"/>
        </w:rPr>
        <w:t>.</w:t>
      </w:r>
    </w:p>
    <w:p w14:paraId="27B13309" w14:textId="77777777" w:rsidR="000366EB" w:rsidRPr="00C43C5B" w:rsidRDefault="000366EB" w:rsidP="000366EB">
      <w:pPr>
        <w:jc w:val="both"/>
        <w:rPr>
          <w:rFonts w:ascii="Arial" w:hAnsi="Arial" w:cs="Arial"/>
          <w:sz w:val="22"/>
          <w:szCs w:val="22"/>
        </w:rPr>
      </w:pPr>
      <w:r w:rsidRPr="00C43C5B">
        <w:rPr>
          <w:rFonts w:ascii="Arial" w:hAnsi="Arial" w:cs="Arial"/>
          <w:sz w:val="22"/>
          <w:szCs w:val="22"/>
        </w:rPr>
        <w:t>Opatření mělo primárně vést k maximálně možné eliminaci černého trhu s lihovinami a</w:t>
      </w:r>
      <w:r w:rsidR="00D125FB">
        <w:rPr>
          <w:rFonts w:ascii="Arial" w:hAnsi="Arial" w:cs="Arial"/>
          <w:sz w:val="22"/>
          <w:szCs w:val="22"/>
        </w:rPr>
        <w:t> </w:t>
      </w:r>
      <w:r w:rsidRPr="00C43C5B">
        <w:rPr>
          <w:rFonts w:ascii="Arial" w:hAnsi="Arial" w:cs="Arial"/>
          <w:sz w:val="22"/>
          <w:szCs w:val="22"/>
        </w:rPr>
        <w:t xml:space="preserve">poskytnout tak správci daně účinný nástroj vedoucí k takovému cíli. Opatření je hospodárnější alternativou k finančně nákladné přímé přítomnosti správce daně u výrobce lihovin. </w:t>
      </w:r>
    </w:p>
    <w:p w14:paraId="53FFA08F" w14:textId="77777777" w:rsidR="000366EB" w:rsidRPr="008D46B7" w:rsidRDefault="000366EB" w:rsidP="000366EB">
      <w:pPr>
        <w:jc w:val="both"/>
        <w:rPr>
          <w:rFonts w:ascii="Arial" w:hAnsi="Arial" w:cs="Arial"/>
          <w:sz w:val="22"/>
          <w:szCs w:val="22"/>
        </w:rPr>
      </w:pPr>
      <w:r w:rsidRPr="00C43C5B">
        <w:rPr>
          <w:rFonts w:ascii="Arial" w:hAnsi="Arial" w:cs="Arial"/>
          <w:sz w:val="22"/>
          <w:szCs w:val="22"/>
        </w:rPr>
        <w:t>Vzhledem ke skutečnosti, že využití institutu vybavení sledovacím zařízením by mělo být dáno především podmínkami konkrétního případu a efektivity výkonu státní správy, nelze podmínky tohoto využití normovat na zákonné úrovni.</w:t>
      </w:r>
    </w:p>
    <w:p w14:paraId="10BF61F2" w14:textId="77777777" w:rsidR="00C95F82" w:rsidRDefault="00C95F82" w:rsidP="00C126A0">
      <w:pPr>
        <w:autoSpaceDE w:val="0"/>
        <w:autoSpaceDN w:val="0"/>
        <w:adjustRightInd w:val="0"/>
        <w:jc w:val="both"/>
        <w:outlineLvl w:val="0"/>
        <w:rPr>
          <w:rFonts w:ascii="Arial" w:hAnsi="Arial" w:cs="Arial"/>
          <w:sz w:val="22"/>
          <w:szCs w:val="22"/>
        </w:rPr>
      </w:pPr>
    </w:p>
    <w:p w14:paraId="191D4C25" w14:textId="77777777" w:rsidR="007C1993" w:rsidRDefault="007C1993" w:rsidP="00C126A0">
      <w:pPr>
        <w:autoSpaceDE w:val="0"/>
        <w:autoSpaceDN w:val="0"/>
        <w:adjustRightInd w:val="0"/>
        <w:jc w:val="both"/>
        <w:outlineLvl w:val="0"/>
        <w:rPr>
          <w:rFonts w:ascii="Arial" w:hAnsi="Arial" w:cs="Arial"/>
          <w:b/>
          <w:noProof/>
          <w:sz w:val="22"/>
          <w:szCs w:val="22"/>
        </w:rPr>
      </w:pPr>
    </w:p>
    <w:p w14:paraId="13FEE902" w14:textId="77777777" w:rsidR="00C95F82" w:rsidRPr="00EA6CAB" w:rsidRDefault="00C45AC4" w:rsidP="00C95F82">
      <w:pPr>
        <w:pStyle w:val="Default"/>
        <w:jc w:val="both"/>
        <w:rPr>
          <w:rFonts w:ascii="Arial" w:hAnsi="Arial" w:cs="Arial"/>
          <w:b/>
          <w:bCs/>
          <w:color w:val="auto"/>
          <w:sz w:val="22"/>
          <w:szCs w:val="22"/>
        </w:rPr>
      </w:pPr>
      <w:r>
        <w:rPr>
          <w:rFonts w:ascii="Arial" w:hAnsi="Arial" w:cs="Arial"/>
          <w:b/>
          <w:bCs/>
          <w:color w:val="auto"/>
          <w:sz w:val="22"/>
          <w:szCs w:val="22"/>
        </w:rPr>
        <w:t>Bod 1</w:t>
      </w:r>
      <w:r w:rsidR="00F340BF">
        <w:rPr>
          <w:rFonts w:ascii="Arial" w:hAnsi="Arial" w:cs="Arial"/>
          <w:b/>
          <w:bCs/>
          <w:color w:val="auto"/>
          <w:sz w:val="22"/>
          <w:szCs w:val="22"/>
        </w:rPr>
        <w:t xml:space="preserve">f) </w:t>
      </w:r>
      <w:r w:rsidR="00C95F82" w:rsidRPr="00EA6CAB">
        <w:rPr>
          <w:rFonts w:ascii="Arial" w:hAnsi="Arial" w:cs="Arial"/>
          <w:b/>
          <w:bCs/>
          <w:color w:val="auto"/>
          <w:sz w:val="22"/>
          <w:szCs w:val="22"/>
        </w:rPr>
        <w:t>Vyhledávání konečných prodejních míst lihu</w:t>
      </w:r>
    </w:p>
    <w:p w14:paraId="353DA2BB" w14:textId="77777777" w:rsidR="007C1993" w:rsidRDefault="007C1993" w:rsidP="00EA6CAB">
      <w:pPr>
        <w:autoSpaceDE w:val="0"/>
        <w:autoSpaceDN w:val="0"/>
        <w:adjustRightInd w:val="0"/>
        <w:jc w:val="both"/>
        <w:rPr>
          <w:rFonts w:ascii="Arial" w:hAnsi="Arial" w:cs="Arial"/>
          <w:i/>
          <w:sz w:val="22"/>
          <w:szCs w:val="22"/>
          <w:u w:val="single"/>
        </w:rPr>
      </w:pPr>
    </w:p>
    <w:p w14:paraId="1898B1D5" w14:textId="77777777" w:rsidR="00EA6CAB" w:rsidRPr="00EA6CAB" w:rsidRDefault="008D46B7" w:rsidP="00EA6CAB">
      <w:pPr>
        <w:autoSpaceDE w:val="0"/>
        <w:autoSpaceDN w:val="0"/>
        <w:adjustRightInd w:val="0"/>
        <w:jc w:val="both"/>
        <w:rPr>
          <w:rFonts w:ascii="Arial" w:hAnsi="Arial" w:cs="Arial"/>
          <w:b/>
          <w:bCs/>
          <w:sz w:val="22"/>
          <w:szCs w:val="22"/>
        </w:rPr>
      </w:pPr>
      <w:r>
        <w:rPr>
          <w:rFonts w:ascii="Arial" w:hAnsi="Arial" w:cs="Arial"/>
          <w:i/>
          <w:sz w:val="22"/>
          <w:szCs w:val="22"/>
          <w:u w:val="single"/>
        </w:rPr>
        <w:t>Zjištění NKÚ:</w:t>
      </w:r>
    </w:p>
    <w:p w14:paraId="34EB0050" w14:textId="77777777" w:rsidR="00C95F82" w:rsidRPr="00EA6CAB" w:rsidRDefault="008D46B7" w:rsidP="00C95F82">
      <w:pPr>
        <w:pStyle w:val="Default"/>
        <w:jc w:val="both"/>
        <w:rPr>
          <w:rFonts w:ascii="Arial" w:hAnsi="Arial" w:cs="Arial"/>
          <w:i/>
          <w:color w:val="auto"/>
          <w:sz w:val="22"/>
          <w:szCs w:val="22"/>
        </w:rPr>
      </w:pPr>
      <w:r>
        <w:rPr>
          <w:rFonts w:ascii="Arial" w:hAnsi="Arial" w:cs="Arial"/>
          <w:i/>
          <w:color w:val="auto"/>
          <w:sz w:val="22"/>
          <w:szCs w:val="22"/>
        </w:rPr>
        <w:t>„</w:t>
      </w:r>
      <w:r w:rsidR="00C95F82" w:rsidRPr="00EA6CAB">
        <w:rPr>
          <w:rFonts w:ascii="Arial" w:hAnsi="Arial" w:cs="Arial"/>
          <w:i/>
          <w:color w:val="auto"/>
          <w:sz w:val="22"/>
          <w:szCs w:val="22"/>
        </w:rPr>
        <w:t xml:space="preserve">Ke kontrole distribuce lihu konečnému spotřebiteli byly vedle celních orgánů věcně příslušné i další orgány veřejné správy, avšak pro nedostatek podkladů u CÚ či GŘC nelze rozsah koordinace akcí vyhodnotit. K určité formě spolupráce při kontrolní činnosti docházelo, kontroly probíhaly samostatně a na sobě nezávisle, někdy ve stejný okamžik, avšak společné kontroly neměly vliv na úsporu personálních kapacit. </w:t>
      </w:r>
    </w:p>
    <w:p w14:paraId="3677BEED" w14:textId="77777777" w:rsidR="00C95F82" w:rsidRPr="00EA6CAB" w:rsidRDefault="00C95F82" w:rsidP="00C95F82">
      <w:pPr>
        <w:pStyle w:val="Default"/>
        <w:jc w:val="both"/>
        <w:rPr>
          <w:rFonts w:ascii="Arial" w:hAnsi="Arial" w:cs="Arial"/>
          <w:i/>
          <w:color w:val="auto"/>
          <w:sz w:val="22"/>
          <w:szCs w:val="22"/>
        </w:rPr>
      </w:pPr>
      <w:r w:rsidRPr="00EA6CAB">
        <w:rPr>
          <w:rFonts w:ascii="Arial" w:hAnsi="Arial" w:cs="Arial"/>
          <w:i/>
          <w:color w:val="auto"/>
          <w:sz w:val="22"/>
          <w:szCs w:val="22"/>
        </w:rPr>
        <w:lastRenderedPageBreak/>
        <w:t>Zákonem č. 309/2013 Sb., kterým se mění živnostenský zákon, došlo k zařazení prodeje kvasného lihu, konzumního lihu a lihovin mezi živnosti koncesované s cílem získat přehled o</w:t>
      </w:r>
      <w:r w:rsidR="001B4593">
        <w:rPr>
          <w:rFonts w:ascii="Arial" w:hAnsi="Arial" w:cs="Arial"/>
          <w:i/>
          <w:color w:val="auto"/>
          <w:sz w:val="22"/>
          <w:szCs w:val="22"/>
        </w:rPr>
        <w:t> </w:t>
      </w:r>
      <w:r w:rsidRPr="00EA6CAB">
        <w:rPr>
          <w:rFonts w:ascii="Arial" w:hAnsi="Arial" w:cs="Arial"/>
          <w:i/>
          <w:color w:val="auto"/>
          <w:sz w:val="22"/>
          <w:szCs w:val="22"/>
        </w:rPr>
        <w:t>prodejcích lihovin, a umožnit tak snazší kontrolu prodeje nezdaněného a nekvalitního alkoholu. NKÚ zjistil, že CÚ nemají k dispozici úplný přehled o počtu a umístění provozoven a konečná prodejní místa zjišťovaly CÚ vlastní činností (např. monitoringem ulic). NKÚ zjistil, že kontrolované CÚ kontroly tohoto typu vykonávaly (cca 150 kontrol za rok/CÚ) většinou současně s kontrolou nebo monitoringem i jiných v. v.</w:t>
      </w:r>
      <w:r w:rsidR="00C814F5">
        <w:rPr>
          <w:rFonts w:ascii="Arial" w:hAnsi="Arial" w:cs="Arial"/>
          <w:i/>
          <w:color w:val="auto"/>
          <w:sz w:val="22"/>
          <w:szCs w:val="22"/>
        </w:rPr>
        <w:t xml:space="preserve"> </w:t>
      </w:r>
      <w:r w:rsidR="00EA6CAB">
        <w:rPr>
          <w:rFonts w:ascii="Arial" w:hAnsi="Arial" w:cs="Arial"/>
          <w:i/>
          <w:color w:val="auto"/>
          <w:sz w:val="22"/>
          <w:szCs w:val="22"/>
        </w:rPr>
        <w:t>(vybraný výrobek).</w:t>
      </w:r>
      <w:r w:rsidR="008D46B7">
        <w:rPr>
          <w:rFonts w:ascii="Arial" w:hAnsi="Arial" w:cs="Arial"/>
          <w:i/>
          <w:color w:val="auto"/>
          <w:sz w:val="22"/>
          <w:szCs w:val="22"/>
        </w:rPr>
        <w:t>“</w:t>
      </w:r>
    </w:p>
    <w:p w14:paraId="2AE456FA" w14:textId="77777777" w:rsidR="008D46B7" w:rsidRDefault="008D46B7" w:rsidP="00C126A0">
      <w:pPr>
        <w:autoSpaceDE w:val="0"/>
        <w:autoSpaceDN w:val="0"/>
        <w:adjustRightInd w:val="0"/>
        <w:jc w:val="both"/>
        <w:outlineLvl w:val="0"/>
        <w:rPr>
          <w:rFonts w:ascii="Arial" w:hAnsi="Arial" w:cs="Arial"/>
          <w:bCs/>
          <w:iCs/>
          <w:sz w:val="22"/>
          <w:szCs w:val="22"/>
          <w:u w:val="single"/>
        </w:rPr>
      </w:pPr>
    </w:p>
    <w:p w14:paraId="14E9763C" w14:textId="77777777" w:rsidR="00C95F82" w:rsidRPr="008D46B7" w:rsidRDefault="0018662C" w:rsidP="00C126A0">
      <w:pPr>
        <w:autoSpaceDE w:val="0"/>
        <w:autoSpaceDN w:val="0"/>
        <w:adjustRightInd w:val="0"/>
        <w:jc w:val="both"/>
        <w:outlineLvl w:val="0"/>
        <w:rPr>
          <w:rFonts w:ascii="Arial" w:hAnsi="Arial" w:cs="Arial"/>
          <w:bCs/>
          <w:iCs/>
          <w:sz w:val="22"/>
          <w:szCs w:val="22"/>
          <w:u w:val="single"/>
        </w:rPr>
      </w:pPr>
      <w:r w:rsidRPr="008D46B7">
        <w:rPr>
          <w:rFonts w:ascii="Arial" w:hAnsi="Arial" w:cs="Arial"/>
          <w:bCs/>
          <w:iCs/>
          <w:sz w:val="22"/>
          <w:szCs w:val="22"/>
          <w:u w:val="single"/>
        </w:rPr>
        <w:t>Stanovisko:</w:t>
      </w:r>
    </w:p>
    <w:p w14:paraId="5B69A53A" w14:textId="6C17E6DF" w:rsidR="0018662C" w:rsidRPr="008D46B7" w:rsidRDefault="00F84BAD" w:rsidP="0018662C">
      <w:pPr>
        <w:jc w:val="both"/>
        <w:rPr>
          <w:rFonts w:ascii="Arial" w:hAnsi="Arial" w:cs="Arial"/>
          <w:sz w:val="22"/>
          <w:szCs w:val="22"/>
        </w:rPr>
      </w:pPr>
      <w:r>
        <w:rPr>
          <w:rFonts w:ascii="Arial" w:hAnsi="Arial" w:cs="Arial"/>
          <w:sz w:val="22"/>
          <w:szCs w:val="22"/>
        </w:rPr>
        <w:t>Vzhledem k rozdílným kompetencí</w:t>
      </w:r>
      <w:r w:rsidR="00C2265A">
        <w:rPr>
          <w:rFonts w:ascii="Arial" w:hAnsi="Arial" w:cs="Arial"/>
          <w:sz w:val="22"/>
          <w:szCs w:val="22"/>
        </w:rPr>
        <w:t>m</w:t>
      </w:r>
      <w:r>
        <w:rPr>
          <w:rFonts w:ascii="Arial" w:hAnsi="Arial" w:cs="Arial"/>
          <w:sz w:val="22"/>
          <w:szCs w:val="22"/>
        </w:rPr>
        <w:t xml:space="preserve"> spolupracujících kontrolních orgánů a skutečnosti, že každý z kontrolních orgánů dok</w:t>
      </w:r>
      <w:r w:rsidR="00C2265A">
        <w:rPr>
          <w:rFonts w:ascii="Arial" w:hAnsi="Arial" w:cs="Arial"/>
          <w:sz w:val="22"/>
          <w:szCs w:val="22"/>
        </w:rPr>
        <w:t>o</w:t>
      </w:r>
      <w:r>
        <w:rPr>
          <w:rFonts w:ascii="Arial" w:hAnsi="Arial" w:cs="Arial"/>
          <w:sz w:val="22"/>
          <w:szCs w:val="22"/>
        </w:rPr>
        <w:t xml:space="preserve">nčil správní či daňové řízení o zjištěných </w:t>
      </w:r>
      <w:r w:rsidR="00C2265A">
        <w:rPr>
          <w:rFonts w:ascii="Arial" w:hAnsi="Arial" w:cs="Arial"/>
          <w:sz w:val="22"/>
          <w:szCs w:val="22"/>
        </w:rPr>
        <w:t xml:space="preserve">skutečnostech samostatně, nelze rozsah koordinace globálně vyhodnotit. </w:t>
      </w:r>
      <w:r w:rsidR="0018662C" w:rsidRPr="008D46B7">
        <w:rPr>
          <w:rFonts w:ascii="Arial" w:hAnsi="Arial" w:cs="Arial"/>
          <w:b/>
          <w:sz w:val="22"/>
          <w:szCs w:val="22"/>
        </w:rPr>
        <w:t xml:space="preserve">Od začátku „metanolové aféry“ (podzim roku 2012) do konce března 2015 zorganizoval odbor 33 Dohledu GŘC osm celorepublikových kontrolních akcí </w:t>
      </w:r>
      <w:r w:rsidR="004D2A4B">
        <w:rPr>
          <w:rFonts w:ascii="Arial" w:hAnsi="Arial" w:cs="Arial"/>
          <w:b/>
          <w:sz w:val="22"/>
          <w:szCs w:val="22"/>
        </w:rPr>
        <w:t xml:space="preserve">a proběhlo mnoho dalších běžných kontrol </w:t>
      </w:r>
      <w:r w:rsidR="00C159E3">
        <w:rPr>
          <w:rFonts w:ascii="Arial" w:hAnsi="Arial" w:cs="Arial"/>
          <w:b/>
          <w:sz w:val="22"/>
          <w:szCs w:val="22"/>
        </w:rPr>
        <w:t xml:space="preserve">s příslušnými </w:t>
      </w:r>
      <w:r w:rsidR="004D2A4B">
        <w:rPr>
          <w:rFonts w:ascii="Arial" w:hAnsi="Arial" w:cs="Arial"/>
          <w:b/>
          <w:sz w:val="22"/>
          <w:szCs w:val="22"/>
        </w:rPr>
        <w:t>regionální</w:t>
      </w:r>
      <w:r w:rsidR="00C159E3">
        <w:rPr>
          <w:rFonts w:ascii="Arial" w:hAnsi="Arial" w:cs="Arial"/>
          <w:b/>
          <w:sz w:val="22"/>
          <w:szCs w:val="22"/>
        </w:rPr>
        <w:t>mi</w:t>
      </w:r>
      <w:r w:rsidR="004D2A4B">
        <w:rPr>
          <w:rFonts w:ascii="Arial" w:hAnsi="Arial" w:cs="Arial"/>
          <w:b/>
          <w:sz w:val="22"/>
          <w:szCs w:val="22"/>
        </w:rPr>
        <w:t xml:space="preserve"> ú</w:t>
      </w:r>
      <w:r w:rsidR="00C159E3">
        <w:rPr>
          <w:rFonts w:ascii="Arial" w:hAnsi="Arial" w:cs="Arial"/>
          <w:b/>
          <w:sz w:val="22"/>
          <w:szCs w:val="22"/>
        </w:rPr>
        <w:t>tvary</w:t>
      </w:r>
      <w:r w:rsidR="004D2A4B">
        <w:rPr>
          <w:rFonts w:ascii="Arial" w:hAnsi="Arial" w:cs="Arial"/>
          <w:b/>
          <w:sz w:val="22"/>
          <w:szCs w:val="22"/>
        </w:rPr>
        <w:t xml:space="preserve"> </w:t>
      </w:r>
      <w:r w:rsidR="0018662C" w:rsidRPr="00C22B85">
        <w:rPr>
          <w:rFonts w:ascii="Arial" w:hAnsi="Arial" w:cs="Arial"/>
          <w:sz w:val="22"/>
          <w:szCs w:val="22"/>
        </w:rPr>
        <w:t>(rozkazy</w:t>
      </w:r>
      <w:r w:rsidR="0018662C" w:rsidRPr="00CB6489">
        <w:rPr>
          <w:rFonts w:ascii="Arial" w:hAnsi="Arial" w:cs="Arial"/>
          <w:sz w:val="22"/>
          <w:szCs w:val="22"/>
        </w:rPr>
        <w:t xml:space="preserve"> gener</w:t>
      </w:r>
      <w:r w:rsidR="0018662C" w:rsidRPr="003D7AC8">
        <w:rPr>
          <w:rFonts w:ascii="Arial" w:hAnsi="Arial" w:cs="Arial"/>
          <w:sz w:val="22"/>
          <w:szCs w:val="22"/>
        </w:rPr>
        <w:t>álního</w:t>
      </w:r>
      <w:r w:rsidR="0018662C" w:rsidRPr="008D46B7">
        <w:rPr>
          <w:rFonts w:ascii="Arial" w:hAnsi="Arial" w:cs="Arial"/>
          <w:sz w:val="22"/>
          <w:szCs w:val="22"/>
        </w:rPr>
        <w:t xml:space="preserve"> ředitele GŘC na akce byly kontrolní skupině NKÚ poskytnuty), které byly zaměřeny na kontroly v provozovnách. Mimo </w:t>
      </w:r>
      <w:proofErr w:type="gramStart"/>
      <w:r w:rsidR="0018662C" w:rsidRPr="008D46B7">
        <w:rPr>
          <w:rFonts w:ascii="Arial" w:hAnsi="Arial" w:cs="Arial"/>
          <w:sz w:val="22"/>
          <w:szCs w:val="22"/>
        </w:rPr>
        <w:t>jedné</w:t>
      </w:r>
      <w:proofErr w:type="gramEnd"/>
      <w:r w:rsidR="0018662C" w:rsidRPr="008D46B7">
        <w:rPr>
          <w:rFonts w:ascii="Arial" w:hAnsi="Arial" w:cs="Arial"/>
          <w:sz w:val="22"/>
          <w:szCs w:val="22"/>
        </w:rPr>
        <w:t xml:space="preserve"> akce, speciálně zaměřené na tabákové listy, byla ve všech rozkazech uvedena povinnost či doporučení spolupracovat s dalšími orgány veřejné správy, především Státní zemědělskou a potravinářskou inspekcí, </w:t>
      </w:r>
      <w:r w:rsidR="00E254B1">
        <w:rPr>
          <w:rFonts w:ascii="Arial" w:hAnsi="Arial" w:cs="Arial"/>
          <w:sz w:val="22"/>
          <w:szCs w:val="22"/>
        </w:rPr>
        <w:t>o</w:t>
      </w:r>
      <w:r w:rsidR="0018662C" w:rsidRPr="008D46B7">
        <w:rPr>
          <w:rFonts w:ascii="Arial" w:hAnsi="Arial" w:cs="Arial"/>
          <w:sz w:val="22"/>
          <w:szCs w:val="22"/>
        </w:rPr>
        <w:t>rgány ochrany veřejného zdraví (krajskými hygienickými stanicemi), Českou obchodní inspekcí a v rámci metanolové aféry i Policií ČR.</w:t>
      </w:r>
    </w:p>
    <w:p w14:paraId="7EF47C35" w14:textId="77777777" w:rsidR="0018662C" w:rsidRPr="008D46B7" w:rsidRDefault="0018662C" w:rsidP="0018662C">
      <w:pPr>
        <w:jc w:val="both"/>
        <w:rPr>
          <w:rFonts w:ascii="Arial" w:hAnsi="Arial" w:cs="Arial"/>
          <w:sz w:val="22"/>
          <w:szCs w:val="22"/>
        </w:rPr>
      </w:pPr>
      <w:r w:rsidRPr="008D46B7">
        <w:rPr>
          <w:rFonts w:ascii="Arial" w:hAnsi="Arial" w:cs="Arial"/>
          <w:sz w:val="22"/>
          <w:szCs w:val="22"/>
        </w:rPr>
        <w:t xml:space="preserve">Kontroly v souladu se zásadami daňového řádu probíhaly jak samostatně (po domluvě </w:t>
      </w:r>
      <w:r w:rsidR="00B1543A">
        <w:rPr>
          <w:rFonts w:ascii="Arial" w:hAnsi="Arial" w:cs="Arial"/>
          <w:sz w:val="22"/>
          <w:szCs w:val="22"/>
        </w:rPr>
        <w:br/>
      </w:r>
      <w:r w:rsidRPr="008D46B7">
        <w:rPr>
          <w:rFonts w:ascii="Arial" w:hAnsi="Arial" w:cs="Arial"/>
          <w:sz w:val="22"/>
          <w:szCs w:val="22"/>
        </w:rPr>
        <w:t>a u menších provozoven), tak společně (u větších a rizikovějších provozoven). Společné kontroly v některých případech měly vliv na úsporu personálních kapacit, protože vždy nebylo nutné personálně dotovat kontrolní skupinu maximálním počtem celníků. Vždy však bylo nutné zajistit minimální počet členů kontrolní skupiny (alespoň dva).</w:t>
      </w:r>
    </w:p>
    <w:p w14:paraId="044DEACE" w14:textId="77777777" w:rsidR="0018662C" w:rsidRPr="008D46B7" w:rsidRDefault="0018662C" w:rsidP="0018662C">
      <w:pPr>
        <w:jc w:val="both"/>
        <w:rPr>
          <w:rFonts w:ascii="Arial" w:hAnsi="Arial" w:cs="Arial"/>
          <w:sz w:val="22"/>
          <w:szCs w:val="22"/>
        </w:rPr>
      </w:pPr>
      <w:r w:rsidRPr="008D46B7">
        <w:rPr>
          <w:rFonts w:ascii="Arial" w:hAnsi="Arial" w:cs="Arial"/>
          <w:sz w:val="22"/>
          <w:szCs w:val="22"/>
        </w:rPr>
        <w:t>Pro úplnost uvádíme, že se všemi zmíněnými spolupracujícími orgány jsou uzavřeny dohody o spolupráci</w:t>
      </w:r>
      <w:r w:rsidR="004D2A4B">
        <w:rPr>
          <w:rFonts w:ascii="Arial" w:hAnsi="Arial" w:cs="Arial"/>
          <w:sz w:val="22"/>
          <w:szCs w:val="22"/>
        </w:rPr>
        <w:t xml:space="preserve"> (tyto dohody byly předloženy v průběhu kontroly NKÚ)</w:t>
      </w:r>
      <w:r w:rsidRPr="008D46B7">
        <w:rPr>
          <w:rFonts w:ascii="Arial" w:hAnsi="Arial" w:cs="Arial"/>
          <w:sz w:val="22"/>
          <w:szCs w:val="22"/>
        </w:rPr>
        <w:t>, které se dle požadavků pravidelně aktualizují.</w:t>
      </w:r>
    </w:p>
    <w:p w14:paraId="3C358387" w14:textId="77777777" w:rsidR="0018662C" w:rsidRDefault="0018662C" w:rsidP="0018662C">
      <w:pPr>
        <w:autoSpaceDE w:val="0"/>
        <w:autoSpaceDN w:val="0"/>
        <w:adjustRightInd w:val="0"/>
        <w:jc w:val="both"/>
        <w:outlineLvl w:val="0"/>
        <w:rPr>
          <w:rFonts w:ascii="Arial" w:hAnsi="Arial" w:cs="Arial"/>
          <w:sz w:val="22"/>
          <w:szCs w:val="22"/>
        </w:rPr>
      </w:pPr>
      <w:r w:rsidRPr="008D46B7">
        <w:rPr>
          <w:rFonts w:ascii="Arial" w:hAnsi="Arial" w:cs="Arial"/>
          <w:sz w:val="22"/>
          <w:szCs w:val="22"/>
        </w:rPr>
        <w:t>Počátkem roku 2014 byly odborem 60 Analýzy a informační podpory GŘC na základě požadavku odboru 23 Daní GŘC zpracovány přehledy provozoven vhodných k provedení kontrol zdanění a značení lihu, které byly v rámci příprav celostátních kontrolních akcí poskytnuty celním úřadům. Rizikové provozovny, v nichž bylo v minulosti zjištěno porušení předpisů ve vztahu k vybraným výrobkům, byly doplněny informacemi z otevřených zdrojů. Cílem bylo poskytnout kontrolním orgánům orientační přehled provozoven podle místní příslušnosti k CÚ, kde pravděpodobně nebyly kontroly doposud prováděny. Konečná selekce provozoven ke kontrole měla být provedena pracovníky CÚ na základě místních znalostí.</w:t>
      </w:r>
    </w:p>
    <w:p w14:paraId="6C03AFB3" w14:textId="77777777" w:rsidR="005F3973" w:rsidRPr="008D46B7" w:rsidRDefault="005F3973" w:rsidP="005F3973">
      <w:pPr>
        <w:jc w:val="both"/>
        <w:rPr>
          <w:rFonts w:ascii="Arial" w:hAnsi="Arial" w:cs="Arial"/>
          <w:sz w:val="22"/>
          <w:szCs w:val="22"/>
        </w:rPr>
      </w:pPr>
      <w:r w:rsidRPr="008D46B7">
        <w:rPr>
          <w:rFonts w:ascii="Arial" w:hAnsi="Arial" w:cs="Arial"/>
          <w:sz w:val="22"/>
          <w:szCs w:val="22"/>
        </w:rPr>
        <w:t>Spolupráce s dalšími orgány veřejné správy funguje jak na centrální, tak regionální úrovni a</w:t>
      </w:r>
      <w:r>
        <w:rPr>
          <w:rFonts w:ascii="Arial" w:hAnsi="Arial" w:cs="Arial"/>
          <w:sz w:val="22"/>
          <w:szCs w:val="22"/>
        </w:rPr>
        <w:t> </w:t>
      </w:r>
      <w:r w:rsidRPr="008D46B7">
        <w:rPr>
          <w:rFonts w:ascii="Arial" w:hAnsi="Arial" w:cs="Arial"/>
          <w:sz w:val="22"/>
          <w:szCs w:val="22"/>
        </w:rPr>
        <w:t>je pravidelně využívána při tematických akcích i běžné kontrolní činnosti.</w:t>
      </w:r>
    </w:p>
    <w:p w14:paraId="6478682D" w14:textId="77777777" w:rsidR="008D46B7" w:rsidRPr="008D46B7" w:rsidRDefault="005F3973" w:rsidP="005F3973">
      <w:pPr>
        <w:autoSpaceDE w:val="0"/>
        <w:autoSpaceDN w:val="0"/>
        <w:adjustRightInd w:val="0"/>
        <w:jc w:val="both"/>
        <w:outlineLvl w:val="0"/>
        <w:rPr>
          <w:rFonts w:ascii="Arial" w:hAnsi="Arial" w:cs="Arial"/>
          <w:b/>
          <w:noProof/>
          <w:sz w:val="22"/>
          <w:szCs w:val="22"/>
        </w:rPr>
      </w:pPr>
      <w:r w:rsidRPr="008D46B7">
        <w:rPr>
          <w:rFonts w:ascii="Arial" w:hAnsi="Arial" w:cs="Arial"/>
          <w:sz w:val="22"/>
          <w:szCs w:val="22"/>
        </w:rPr>
        <w:t>Od 1. 11. 2015 bude mít CS ČR k dispozici aktualizovaný informační systém ARES zahrnující rovněž typy živností.</w:t>
      </w:r>
    </w:p>
    <w:p w14:paraId="7A4173D1" w14:textId="77777777" w:rsidR="00C159E3" w:rsidRDefault="00C159E3" w:rsidP="0018662C">
      <w:pPr>
        <w:autoSpaceDE w:val="0"/>
        <w:autoSpaceDN w:val="0"/>
        <w:adjustRightInd w:val="0"/>
        <w:jc w:val="both"/>
        <w:rPr>
          <w:rFonts w:ascii="Arial" w:hAnsi="Arial" w:cs="Arial"/>
          <w:sz w:val="22"/>
          <w:szCs w:val="22"/>
          <w:u w:val="single"/>
        </w:rPr>
      </w:pPr>
    </w:p>
    <w:p w14:paraId="3C05013A" w14:textId="77777777" w:rsidR="0018662C" w:rsidRPr="008D46B7" w:rsidRDefault="0018662C" w:rsidP="0018662C">
      <w:pPr>
        <w:autoSpaceDE w:val="0"/>
        <w:autoSpaceDN w:val="0"/>
        <w:adjustRightInd w:val="0"/>
        <w:jc w:val="both"/>
        <w:rPr>
          <w:rFonts w:ascii="Arial" w:eastAsia="Calibri" w:hAnsi="Arial" w:cs="Arial"/>
          <w:sz w:val="22"/>
          <w:szCs w:val="22"/>
        </w:rPr>
      </w:pPr>
      <w:r w:rsidRPr="008D46B7">
        <w:rPr>
          <w:rFonts w:ascii="Arial" w:hAnsi="Arial" w:cs="Arial"/>
          <w:sz w:val="22"/>
          <w:szCs w:val="22"/>
          <w:u w:val="single"/>
        </w:rPr>
        <w:t>Opatření</w:t>
      </w:r>
      <w:r w:rsidR="00785FEC">
        <w:rPr>
          <w:rFonts w:ascii="Arial" w:hAnsi="Arial" w:cs="Arial"/>
          <w:sz w:val="22"/>
          <w:szCs w:val="22"/>
          <w:u w:val="single"/>
        </w:rPr>
        <w:t xml:space="preserve"> č. </w:t>
      </w:r>
      <w:r w:rsidR="002D148C">
        <w:rPr>
          <w:rFonts w:ascii="Arial" w:hAnsi="Arial" w:cs="Arial"/>
          <w:sz w:val="22"/>
          <w:szCs w:val="22"/>
          <w:u w:val="single"/>
        </w:rPr>
        <w:t>3</w:t>
      </w:r>
      <w:r w:rsidRPr="008D46B7">
        <w:rPr>
          <w:rFonts w:ascii="Arial" w:hAnsi="Arial" w:cs="Arial"/>
          <w:sz w:val="22"/>
          <w:szCs w:val="22"/>
          <w:u w:val="single"/>
        </w:rPr>
        <w:t>:</w:t>
      </w:r>
    </w:p>
    <w:p w14:paraId="270CE1EB" w14:textId="77777777" w:rsidR="00C95F82" w:rsidRDefault="0018662C" w:rsidP="0018662C">
      <w:pPr>
        <w:autoSpaceDE w:val="0"/>
        <w:autoSpaceDN w:val="0"/>
        <w:adjustRightInd w:val="0"/>
        <w:jc w:val="both"/>
        <w:outlineLvl w:val="0"/>
        <w:rPr>
          <w:rFonts w:ascii="Arial" w:hAnsi="Arial" w:cs="Arial"/>
          <w:sz w:val="22"/>
          <w:szCs w:val="22"/>
        </w:rPr>
      </w:pPr>
      <w:r w:rsidRPr="008D46B7">
        <w:rPr>
          <w:rFonts w:ascii="Arial" w:hAnsi="Arial" w:cs="Arial"/>
          <w:sz w:val="22"/>
          <w:szCs w:val="22"/>
        </w:rPr>
        <w:t>Od 1. 1. 2016 budou mít celní úřady prostřednictvím CRS – Centrálního registru subjektů neomezený přístup k registru živnostenského podnikání s možností vyhledávání bez omezení.</w:t>
      </w:r>
    </w:p>
    <w:p w14:paraId="3443B1AA" w14:textId="77777777" w:rsidR="008D46B7" w:rsidRPr="008D46B7" w:rsidRDefault="008D46B7" w:rsidP="0018662C">
      <w:pPr>
        <w:autoSpaceDE w:val="0"/>
        <w:autoSpaceDN w:val="0"/>
        <w:adjustRightInd w:val="0"/>
        <w:jc w:val="both"/>
        <w:outlineLvl w:val="0"/>
        <w:rPr>
          <w:rFonts w:ascii="Arial" w:hAnsi="Arial" w:cs="Arial"/>
          <w:sz w:val="22"/>
          <w:szCs w:val="22"/>
        </w:rPr>
      </w:pPr>
    </w:p>
    <w:p w14:paraId="24039090" w14:textId="77777777" w:rsidR="0018662C" w:rsidRDefault="0018662C" w:rsidP="0018662C">
      <w:pPr>
        <w:autoSpaceDE w:val="0"/>
        <w:autoSpaceDN w:val="0"/>
        <w:adjustRightInd w:val="0"/>
        <w:jc w:val="both"/>
        <w:outlineLvl w:val="0"/>
        <w:rPr>
          <w:rFonts w:ascii="Arial" w:hAnsi="Arial" w:cs="Arial"/>
          <w:b/>
          <w:noProof/>
          <w:sz w:val="22"/>
          <w:szCs w:val="22"/>
        </w:rPr>
      </w:pPr>
      <w:r w:rsidRPr="008D46B7">
        <w:rPr>
          <w:rFonts w:ascii="Arial" w:hAnsi="Arial" w:cs="Arial"/>
          <w:bCs/>
          <w:iCs/>
          <w:sz w:val="22"/>
          <w:szCs w:val="22"/>
          <w:u w:val="single"/>
        </w:rPr>
        <w:t>Termín</w:t>
      </w:r>
      <w:r w:rsidR="005F3973">
        <w:rPr>
          <w:rFonts w:ascii="Arial" w:hAnsi="Arial" w:cs="Arial"/>
          <w:sz w:val="22"/>
          <w:szCs w:val="22"/>
        </w:rPr>
        <w:t xml:space="preserve"> 1. 1. 2016</w:t>
      </w:r>
    </w:p>
    <w:p w14:paraId="37CDBAEE" w14:textId="77777777" w:rsidR="008D46B7" w:rsidRDefault="008D46B7" w:rsidP="0018662C">
      <w:pPr>
        <w:autoSpaceDE w:val="0"/>
        <w:autoSpaceDN w:val="0"/>
        <w:adjustRightInd w:val="0"/>
        <w:jc w:val="both"/>
        <w:outlineLvl w:val="0"/>
        <w:rPr>
          <w:rFonts w:ascii="Arial" w:hAnsi="Arial" w:cs="Arial"/>
          <w:b/>
          <w:noProof/>
          <w:sz w:val="22"/>
          <w:szCs w:val="22"/>
        </w:rPr>
      </w:pPr>
    </w:p>
    <w:p w14:paraId="6A891566" w14:textId="77777777" w:rsidR="002C1611" w:rsidRPr="008D46B7" w:rsidRDefault="002C1611" w:rsidP="0018662C">
      <w:pPr>
        <w:autoSpaceDE w:val="0"/>
        <w:autoSpaceDN w:val="0"/>
        <w:adjustRightInd w:val="0"/>
        <w:jc w:val="both"/>
        <w:outlineLvl w:val="0"/>
        <w:rPr>
          <w:rFonts w:ascii="Arial" w:hAnsi="Arial" w:cs="Arial"/>
          <w:b/>
          <w:noProof/>
          <w:sz w:val="22"/>
          <w:szCs w:val="22"/>
        </w:rPr>
      </w:pPr>
    </w:p>
    <w:p w14:paraId="2806DB33" w14:textId="77777777" w:rsidR="00C95F82" w:rsidRPr="001B4593" w:rsidRDefault="0018662C" w:rsidP="00C95F82">
      <w:pPr>
        <w:pStyle w:val="Default"/>
        <w:jc w:val="both"/>
        <w:rPr>
          <w:rFonts w:ascii="Arial" w:hAnsi="Arial" w:cs="Arial"/>
          <w:b/>
          <w:bCs/>
          <w:color w:val="auto"/>
          <w:sz w:val="22"/>
          <w:szCs w:val="22"/>
        </w:rPr>
      </w:pPr>
      <w:r>
        <w:rPr>
          <w:rFonts w:ascii="Arial" w:hAnsi="Arial" w:cs="Arial"/>
          <w:b/>
          <w:bCs/>
          <w:color w:val="auto"/>
          <w:sz w:val="22"/>
          <w:szCs w:val="22"/>
        </w:rPr>
        <w:t xml:space="preserve">Bod 1 g) </w:t>
      </w:r>
      <w:r w:rsidR="00C95F82" w:rsidRPr="001B4593">
        <w:rPr>
          <w:rFonts w:ascii="Arial" w:hAnsi="Arial" w:cs="Arial"/>
          <w:b/>
          <w:bCs/>
          <w:color w:val="auto"/>
          <w:sz w:val="22"/>
          <w:szCs w:val="22"/>
        </w:rPr>
        <w:t>Kontrola pěstitelského pálení</w:t>
      </w:r>
    </w:p>
    <w:p w14:paraId="2A13F1A5" w14:textId="77777777" w:rsidR="007C1993" w:rsidRDefault="007C1993" w:rsidP="001B4593">
      <w:pPr>
        <w:autoSpaceDE w:val="0"/>
        <w:autoSpaceDN w:val="0"/>
        <w:adjustRightInd w:val="0"/>
        <w:jc w:val="both"/>
        <w:rPr>
          <w:rFonts w:ascii="Arial" w:hAnsi="Arial" w:cs="Arial"/>
          <w:i/>
          <w:sz w:val="22"/>
          <w:szCs w:val="22"/>
          <w:u w:val="single"/>
        </w:rPr>
      </w:pPr>
    </w:p>
    <w:p w14:paraId="5A2A10AB" w14:textId="77777777" w:rsidR="001B4593" w:rsidRPr="00EA6CAB" w:rsidRDefault="001B4593" w:rsidP="001B4593">
      <w:pPr>
        <w:autoSpaceDE w:val="0"/>
        <w:autoSpaceDN w:val="0"/>
        <w:adjustRightInd w:val="0"/>
        <w:jc w:val="both"/>
        <w:rPr>
          <w:rFonts w:ascii="Arial" w:hAnsi="Arial" w:cs="Arial"/>
          <w:b/>
          <w:bCs/>
          <w:sz w:val="22"/>
          <w:szCs w:val="22"/>
        </w:rPr>
      </w:pPr>
      <w:r w:rsidRPr="00EA6CAB">
        <w:rPr>
          <w:rFonts w:ascii="Arial" w:hAnsi="Arial" w:cs="Arial"/>
          <w:i/>
          <w:sz w:val="22"/>
          <w:szCs w:val="22"/>
          <w:u w:val="single"/>
        </w:rPr>
        <w:t>Zjištění NKÚ</w:t>
      </w:r>
      <w:r w:rsidR="00C45AC4">
        <w:rPr>
          <w:rFonts w:ascii="Arial" w:hAnsi="Arial" w:cs="Arial"/>
          <w:i/>
          <w:sz w:val="22"/>
          <w:szCs w:val="22"/>
          <w:u w:val="single"/>
        </w:rPr>
        <w:t>:</w:t>
      </w:r>
    </w:p>
    <w:p w14:paraId="1ACE6623" w14:textId="77777777" w:rsidR="00C95F82" w:rsidRPr="001B4593" w:rsidRDefault="00C45AC4" w:rsidP="00C95F82">
      <w:pPr>
        <w:pStyle w:val="Default"/>
        <w:jc w:val="both"/>
        <w:rPr>
          <w:rFonts w:ascii="Arial" w:hAnsi="Arial" w:cs="Arial"/>
          <w:i/>
          <w:color w:val="auto"/>
          <w:sz w:val="22"/>
          <w:szCs w:val="22"/>
        </w:rPr>
      </w:pPr>
      <w:r>
        <w:rPr>
          <w:rFonts w:ascii="Arial" w:hAnsi="Arial" w:cs="Arial"/>
          <w:i/>
          <w:color w:val="auto"/>
          <w:sz w:val="22"/>
          <w:szCs w:val="22"/>
        </w:rPr>
        <w:t>„</w:t>
      </w:r>
      <w:r w:rsidR="00C95F82" w:rsidRPr="001B4593">
        <w:rPr>
          <w:rFonts w:ascii="Arial" w:hAnsi="Arial" w:cs="Arial"/>
          <w:i/>
          <w:color w:val="auto"/>
          <w:sz w:val="22"/>
          <w:szCs w:val="22"/>
        </w:rPr>
        <w:t xml:space="preserve">NKÚ u pěti kontrolovaných CÚ zjistil, že 21 % pálenic alespoň v jednom roce vypálilo méně než 10 hl lihu za rok, tedy méně, než je minimální objem stanovený směrnicí Rady EHS. CÚ jsou povinny provést kontrolu v pěstitelské pálenici při zahájení a ukončení výroby a dále </w:t>
      </w:r>
      <w:r w:rsidR="00C95F82" w:rsidRPr="001B4593">
        <w:rPr>
          <w:rFonts w:ascii="Arial" w:hAnsi="Arial" w:cs="Arial"/>
          <w:i/>
          <w:color w:val="auto"/>
          <w:sz w:val="22"/>
          <w:szCs w:val="22"/>
        </w:rPr>
        <w:lastRenderedPageBreak/>
        <w:t>minimálně jedenkrát za dva měsíce, přičemž výrobní zařízení je zajištěno plombami CÚ a</w:t>
      </w:r>
      <w:r w:rsidR="001B4593">
        <w:rPr>
          <w:rFonts w:ascii="Arial" w:hAnsi="Arial" w:cs="Arial"/>
          <w:i/>
          <w:color w:val="auto"/>
          <w:sz w:val="22"/>
          <w:szCs w:val="22"/>
        </w:rPr>
        <w:t> </w:t>
      </w:r>
      <w:r w:rsidR="00C95F82" w:rsidRPr="001B4593">
        <w:rPr>
          <w:rFonts w:ascii="Arial" w:hAnsi="Arial" w:cs="Arial"/>
          <w:i/>
          <w:color w:val="auto"/>
          <w:sz w:val="22"/>
          <w:szCs w:val="22"/>
        </w:rPr>
        <w:t xml:space="preserve">osazeno měřidly. </w:t>
      </w:r>
    </w:p>
    <w:p w14:paraId="7B310369" w14:textId="77777777" w:rsidR="00C95F82" w:rsidRPr="001B4593" w:rsidRDefault="00C95F82" w:rsidP="00C95F82">
      <w:pPr>
        <w:pStyle w:val="Default"/>
        <w:jc w:val="both"/>
        <w:rPr>
          <w:rFonts w:ascii="Arial" w:hAnsi="Arial" w:cs="Arial"/>
          <w:i/>
          <w:color w:val="auto"/>
          <w:sz w:val="22"/>
          <w:szCs w:val="22"/>
        </w:rPr>
      </w:pPr>
      <w:r w:rsidRPr="001B4593">
        <w:rPr>
          <w:rFonts w:ascii="Arial" w:hAnsi="Arial" w:cs="Arial"/>
          <w:i/>
          <w:color w:val="auto"/>
          <w:sz w:val="22"/>
          <w:szCs w:val="22"/>
        </w:rPr>
        <w:t xml:space="preserve">NKÚ zjistil, že kontrolované CÚ z kontrolního vzorku 94 vybraných pěstitelů, kteří překročili limit 30 litrů lihu za výrobní období, u 22 (tj. 23 %) nevybraly SPD z rozdílu mezi základní sazbou daně a sníženou sazbou v částce 34 958 Kč. Pro kontrolu správnosti rodných čísel pěstitelů není nastaven systém, což má za následek možnost uvádění nesprávných rodných čísel, časově náročné dohledávání pěstitele a neoprávněné přiznání snížené sazby SPD. Kontrolní činnost znesnadňuje také nečitelnost údajů v prohlášeních pěstitelů a nečitelnost evidencí provozovatelů pálenic. V několika případech kontrolované CÚ zjistily a prokázaly porušení právních předpisů pěstiteli. </w:t>
      </w:r>
    </w:p>
    <w:p w14:paraId="225CC3EA" w14:textId="77777777" w:rsidR="00C95F82" w:rsidRDefault="00C95F82" w:rsidP="00C95F82">
      <w:pPr>
        <w:autoSpaceDE w:val="0"/>
        <w:autoSpaceDN w:val="0"/>
        <w:adjustRightInd w:val="0"/>
        <w:jc w:val="both"/>
        <w:outlineLvl w:val="0"/>
        <w:rPr>
          <w:rFonts w:ascii="Arial" w:hAnsi="Arial" w:cs="Arial"/>
          <w:i/>
          <w:sz w:val="22"/>
          <w:szCs w:val="22"/>
        </w:rPr>
      </w:pPr>
      <w:r w:rsidRPr="001B4593">
        <w:rPr>
          <w:rFonts w:ascii="Arial" w:hAnsi="Arial" w:cs="Arial"/>
          <w:i/>
          <w:sz w:val="22"/>
          <w:szCs w:val="22"/>
        </w:rPr>
        <w:t>Původ ovoce použitého k pěstitelskému pálení kontrolovaly CÚ minimálně vzhledem k</w:t>
      </w:r>
      <w:r w:rsidR="001B4593">
        <w:rPr>
          <w:rFonts w:ascii="Arial" w:hAnsi="Arial" w:cs="Arial"/>
          <w:i/>
          <w:sz w:val="22"/>
          <w:szCs w:val="22"/>
        </w:rPr>
        <w:t> </w:t>
      </w:r>
      <w:r w:rsidRPr="001B4593">
        <w:rPr>
          <w:rFonts w:ascii="Arial" w:hAnsi="Arial" w:cs="Arial"/>
          <w:i/>
          <w:sz w:val="22"/>
          <w:szCs w:val="22"/>
        </w:rPr>
        <w:t>značné časové náročnosti.</w:t>
      </w:r>
      <w:r w:rsidR="00C45AC4">
        <w:rPr>
          <w:rFonts w:ascii="Arial" w:hAnsi="Arial" w:cs="Arial"/>
          <w:i/>
          <w:sz w:val="22"/>
          <w:szCs w:val="22"/>
        </w:rPr>
        <w:t>“</w:t>
      </w:r>
    </w:p>
    <w:p w14:paraId="14E57C03" w14:textId="77777777" w:rsidR="00A838FB" w:rsidRDefault="00A838FB" w:rsidP="006C5C91">
      <w:pPr>
        <w:autoSpaceDE w:val="0"/>
        <w:autoSpaceDN w:val="0"/>
        <w:adjustRightInd w:val="0"/>
        <w:jc w:val="both"/>
        <w:outlineLvl w:val="0"/>
        <w:rPr>
          <w:rFonts w:ascii="Arial" w:hAnsi="Arial" w:cs="Arial"/>
          <w:bCs/>
          <w:iCs/>
          <w:sz w:val="22"/>
          <w:szCs w:val="22"/>
          <w:u w:val="single"/>
        </w:rPr>
      </w:pPr>
    </w:p>
    <w:p w14:paraId="5BD4A9B8" w14:textId="77777777" w:rsidR="006C5C91" w:rsidRPr="00C45AC4" w:rsidRDefault="006C5C91" w:rsidP="006C5C91">
      <w:pPr>
        <w:autoSpaceDE w:val="0"/>
        <w:autoSpaceDN w:val="0"/>
        <w:adjustRightInd w:val="0"/>
        <w:jc w:val="both"/>
        <w:outlineLvl w:val="0"/>
        <w:rPr>
          <w:rFonts w:ascii="Arial" w:hAnsi="Arial" w:cs="Arial"/>
          <w:bCs/>
          <w:iCs/>
          <w:sz w:val="22"/>
          <w:szCs w:val="22"/>
          <w:u w:val="single"/>
        </w:rPr>
      </w:pPr>
      <w:r w:rsidRPr="00C45AC4">
        <w:rPr>
          <w:rFonts w:ascii="Arial" w:hAnsi="Arial" w:cs="Arial"/>
          <w:bCs/>
          <w:iCs/>
          <w:sz w:val="22"/>
          <w:szCs w:val="22"/>
          <w:u w:val="single"/>
        </w:rPr>
        <w:t>Stanovisko:</w:t>
      </w:r>
    </w:p>
    <w:p w14:paraId="087FDD27" w14:textId="77777777" w:rsidR="00B37443" w:rsidRDefault="006C5C91" w:rsidP="006C5C91">
      <w:pPr>
        <w:jc w:val="both"/>
        <w:rPr>
          <w:rFonts w:ascii="Arial" w:hAnsi="Arial" w:cs="Arial"/>
          <w:sz w:val="22"/>
          <w:szCs w:val="22"/>
        </w:rPr>
      </w:pPr>
      <w:r w:rsidRPr="00C45AC4">
        <w:rPr>
          <w:rFonts w:ascii="Arial" w:hAnsi="Arial" w:cs="Arial"/>
          <w:sz w:val="22"/>
          <w:szCs w:val="22"/>
        </w:rPr>
        <w:t xml:space="preserve">Česká republika </w:t>
      </w:r>
      <w:r w:rsidR="00952629">
        <w:rPr>
          <w:rFonts w:ascii="Arial" w:hAnsi="Arial" w:cs="Arial"/>
          <w:sz w:val="22"/>
          <w:szCs w:val="22"/>
        </w:rPr>
        <w:t>ne</w:t>
      </w:r>
      <w:r w:rsidRPr="00C45AC4">
        <w:rPr>
          <w:rFonts w:ascii="Arial" w:hAnsi="Arial" w:cs="Arial"/>
          <w:sz w:val="22"/>
          <w:szCs w:val="22"/>
        </w:rPr>
        <w:t xml:space="preserve">má </w:t>
      </w:r>
      <w:r w:rsidR="006053DD">
        <w:rPr>
          <w:rFonts w:ascii="Arial" w:hAnsi="Arial" w:cs="Arial"/>
          <w:sz w:val="22"/>
          <w:szCs w:val="22"/>
        </w:rPr>
        <w:t>v zákoně č. 3</w:t>
      </w:r>
      <w:r w:rsidR="00590F4B">
        <w:rPr>
          <w:rFonts w:ascii="Arial" w:hAnsi="Arial" w:cs="Arial"/>
          <w:sz w:val="22"/>
          <w:szCs w:val="22"/>
        </w:rPr>
        <w:t>5</w:t>
      </w:r>
      <w:r w:rsidR="006053DD">
        <w:rPr>
          <w:rFonts w:ascii="Arial" w:hAnsi="Arial" w:cs="Arial"/>
          <w:sz w:val="22"/>
          <w:szCs w:val="22"/>
        </w:rPr>
        <w:t xml:space="preserve">3/2003 Sb., zákon o </w:t>
      </w:r>
      <w:r w:rsidR="00983CB8">
        <w:rPr>
          <w:rFonts w:ascii="Arial" w:hAnsi="Arial" w:cs="Arial"/>
          <w:sz w:val="22"/>
          <w:szCs w:val="22"/>
        </w:rPr>
        <w:t xml:space="preserve">spotřebních daních, </w:t>
      </w:r>
      <w:r w:rsidR="00952629">
        <w:rPr>
          <w:rFonts w:ascii="Arial" w:hAnsi="Arial" w:cs="Arial"/>
          <w:sz w:val="22"/>
          <w:szCs w:val="22"/>
        </w:rPr>
        <w:t>zohledněn limit uvedený ve</w:t>
      </w:r>
      <w:r w:rsidRPr="00C45AC4">
        <w:rPr>
          <w:rFonts w:ascii="Arial" w:hAnsi="Arial" w:cs="Arial"/>
          <w:sz w:val="22"/>
          <w:szCs w:val="22"/>
        </w:rPr>
        <w:t xml:space="preserve"> člán</w:t>
      </w:r>
      <w:r w:rsidR="00952629">
        <w:rPr>
          <w:rFonts w:ascii="Arial" w:hAnsi="Arial" w:cs="Arial"/>
          <w:sz w:val="22"/>
          <w:szCs w:val="22"/>
        </w:rPr>
        <w:t>ku</w:t>
      </w:r>
      <w:r w:rsidRPr="00C45AC4">
        <w:rPr>
          <w:rFonts w:ascii="Arial" w:hAnsi="Arial" w:cs="Arial"/>
          <w:sz w:val="22"/>
          <w:szCs w:val="22"/>
        </w:rPr>
        <w:t xml:space="preserve"> 22 Směrnice Rady 92/83/EHS,</w:t>
      </w:r>
      <w:r w:rsidR="006053DD">
        <w:rPr>
          <w:rFonts w:ascii="Arial" w:hAnsi="Arial" w:cs="Arial"/>
          <w:sz w:val="22"/>
          <w:szCs w:val="22"/>
        </w:rPr>
        <w:t xml:space="preserve"> </w:t>
      </w:r>
      <w:r w:rsidR="00952629">
        <w:rPr>
          <w:rFonts w:ascii="Arial" w:hAnsi="Arial" w:cs="Arial"/>
          <w:sz w:val="22"/>
          <w:szCs w:val="22"/>
        </w:rPr>
        <w:t>který</w:t>
      </w:r>
      <w:r w:rsidRPr="00C45AC4">
        <w:rPr>
          <w:rFonts w:ascii="Arial" w:hAnsi="Arial" w:cs="Arial"/>
          <w:sz w:val="22"/>
          <w:szCs w:val="22"/>
        </w:rPr>
        <w:t xml:space="preserve"> stanoví, že sníženou sazbu daně lze přiznat malým lihovarům s výrobou nad 10 hl čistého alkoholu ročně (tomuto odpovídá i trvalá výjimka dojednaná v přístupové smlouvě k EU). </w:t>
      </w:r>
      <w:r w:rsidR="00952629">
        <w:rPr>
          <w:rFonts w:ascii="Arial" w:hAnsi="Arial" w:cs="Arial"/>
          <w:sz w:val="22"/>
          <w:szCs w:val="22"/>
        </w:rPr>
        <w:t>Při vypracování konečné verze příslušného článku směrnice</w:t>
      </w:r>
      <w:r w:rsidR="00AC1884">
        <w:rPr>
          <w:rFonts w:ascii="Arial" w:hAnsi="Arial" w:cs="Arial"/>
          <w:sz w:val="22"/>
          <w:szCs w:val="22"/>
        </w:rPr>
        <w:t xml:space="preserve"> došlo k mylnému propojení ustanovení týkajících se malých lihovarů a pěstitelských pálenic. Evropská komise si je výše uvedené dezinterpretace vědoma a hodlá při revizi příslušné směrnice, pravděpodobně v roce 2016, limit obratu výroby ve smyslu původních vyjednávání vypustit. </w:t>
      </w:r>
      <w:r w:rsidR="00B37443">
        <w:rPr>
          <w:rFonts w:ascii="Arial" w:hAnsi="Arial" w:cs="Arial"/>
          <w:sz w:val="22"/>
          <w:szCs w:val="22"/>
        </w:rPr>
        <w:t xml:space="preserve">O tomto stavu Ministerstvo financí ČR dopisem ze dne 27. 3. 2015 informovalo NKÚ. </w:t>
      </w:r>
    </w:p>
    <w:p w14:paraId="2C53C476" w14:textId="77777777" w:rsidR="006C5C91" w:rsidRPr="00C45AC4" w:rsidRDefault="006C5C91" w:rsidP="006C5C91">
      <w:pPr>
        <w:jc w:val="both"/>
        <w:rPr>
          <w:rFonts w:ascii="Arial" w:hAnsi="Arial" w:cs="Arial"/>
          <w:sz w:val="22"/>
          <w:szCs w:val="22"/>
        </w:rPr>
      </w:pPr>
      <w:r w:rsidRPr="00C45AC4">
        <w:rPr>
          <w:rFonts w:ascii="Arial" w:hAnsi="Arial" w:cs="Arial"/>
          <w:sz w:val="22"/>
          <w:szCs w:val="22"/>
        </w:rPr>
        <w:t>Celní správa postupuje dle platné legislativy</w:t>
      </w:r>
      <w:r w:rsidR="009A393F">
        <w:rPr>
          <w:rFonts w:ascii="Arial" w:hAnsi="Arial" w:cs="Arial"/>
          <w:sz w:val="22"/>
          <w:szCs w:val="22"/>
        </w:rPr>
        <w:t xml:space="preserve"> ČR</w:t>
      </w:r>
      <w:r w:rsidRPr="00C45AC4">
        <w:rPr>
          <w:rFonts w:ascii="Arial" w:hAnsi="Arial" w:cs="Arial"/>
          <w:sz w:val="22"/>
          <w:szCs w:val="22"/>
        </w:rPr>
        <w:t>, k přímé aplikaci komunitárního práva může přistoupit pouze tehdy, pokud se jí dovolává subjekt. Je třeba konstatovat, že v tomto případě není povědomost o požadavku na přímou aplikaci směrnice.</w:t>
      </w:r>
    </w:p>
    <w:p w14:paraId="24A4AB8D" w14:textId="77777777" w:rsidR="006C5C91" w:rsidRPr="00C43C5B" w:rsidRDefault="006C5C91" w:rsidP="006C5C91">
      <w:pPr>
        <w:jc w:val="both"/>
        <w:rPr>
          <w:rFonts w:ascii="Arial" w:hAnsi="Arial" w:cs="Arial"/>
          <w:sz w:val="22"/>
          <w:szCs w:val="22"/>
        </w:rPr>
      </w:pPr>
      <w:r w:rsidRPr="00C45AC4">
        <w:rPr>
          <w:rFonts w:ascii="Arial" w:hAnsi="Arial" w:cs="Arial"/>
          <w:sz w:val="22"/>
          <w:szCs w:val="22"/>
        </w:rPr>
        <w:t>Co se týče nesprávného uvádění rodných čísel v evidencích a nenastavení systému jejich kontroly, je nutné konstatovat, že CÚ nemá kompetence k tomu, aby provozovatelům pěstitelských pálenic stanovil formu vedení evidencí. K tomuto by byla nutná změna z</w:t>
      </w:r>
      <w:r w:rsidR="00570C66">
        <w:rPr>
          <w:rFonts w:ascii="Arial" w:hAnsi="Arial" w:cs="Arial"/>
          <w:sz w:val="22"/>
          <w:szCs w:val="22"/>
        </w:rPr>
        <w:t>ákona č.</w:t>
      </w:r>
      <w:r w:rsidR="00536B68">
        <w:rPr>
          <w:rFonts w:ascii="Arial" w:hAnsi="Arial" w:cs="Arial"/>
          <w:sz w:val="22"/>
          <w:szCs w:val="22"/>
        </w:rPr>
        <w:t> </w:t>
      </w:r>
      <w:r w:rsidRPr="00C45AC4">
        <w:rPr>
          <w:rFonts w:ascii="Arial" w:hAnsi="Arial" w:cs="Arial"/>
          <w:sz w:val="22"/>
          <w:szCs w:val="22"/>
        </w:rPr>
        <w:t>61/1997 Sb., o lihu, popřípadě lze uvažovat o tom, že by Ministerstvo zemědělství stanovovalo vedení evidence v PC v povolení k provozování pěstitelské pálenice (to však nebude řešit problém s již vydanými povoleními). Mimo nečitelnosti zaviněn</w:t>
      </w:r>
      <w:r w:rsidR="00F422C0">
        <w:rPr>
          <w:rFonts w:ascii="Arial" w:hAnsi="Arial" w:cs="Arial"/>
          <w:sz w:val="22"/>
          <w:szCs w:val="22"/>
        </w:rPr>
        <w:t>é</w:t>
      </w:r>
      <w:r w:rsidRPr="00C45AC4">
        <w:rPr>
          <w:rFonts w:ascii="Arial" w:hAnsi="Arial" w:cs="Arial"/>
          <w:sz w:val="22"/>
          <w:szCs w:val="22"/>
        </w:rPr>
        <w:t xml:space="preserve"> provozovatele</w:t>
      </w:r>
      <w:r w:rsidR="00F422C0">
        <w:rPr>
          <w:rFonts w:ascii="Arial" w:hAnsi="Arial" w:cs="Arial"/>
          <w:sz w:val="22"/>
          <w:szCs w:val="22"/>
        </w:rPr>
        <w:t>m</w:t>
      </w:r>
      <w:r w:rsidRPr="00C45AC4">
        <w:rPr>
          <w:rFonts w:ascii="Arial" w:hAnsi="Arial" w:cs="Arial"/>
          <w:sz w:val="22"/>
          <w:szCs w:val="22"/>
        </w:rPr>
        <w:t xml:space="preserve"> pěstitelské</w:t>
      </w:r>
      <w:r w:rsidR="00F422C0">
        <w:rPr>
          <w:rFonts w:ascii="Arial" w:hAnsi="Arial" w:cs="Arial"/>
          <w:sz w:val="22"/>
          <w:szCs w:val="22"/>
        </w:rPr>
        <w:t>ho</w:t>
      </w:r>
      <w:r w:rsidRPr="00C45AC4">
        <w:rPr>
          <w:rFonts w:ascii="Arial" w:hAnsi="Arial" w:cs="Arial"/>
          <w:sz w:val="22"/>
          <w:szCs w:val="22"/>
        </w:rPr>
        <w:t xml:space="preserve"> pálení se nelze vyhnout ani úmyslnému či neúmyslnému uvedení chybného RČ pěstitelem, </w:t>
      </w:r>
      <w:r w:rsidRPr="00C43C5B">
        <w:rPr>
          <w:rFonts w:ascii="Arial" w:hAnsi="Arial" w:cs="Arial"/>
          <w:sz w:val="22"/>
          <w:szCs w:val="22"/>
        </w:rPr>
        <w:t>toto by bylo řešitelné povinností předložit provozovateli pěstitelské pálenice občanský průkaz. GŘC se již delší dobu snaží o převod kompetencí vztahujících se k povolování pěstitelských pálenic do své gesce.</w:t>
      </w:r>
    </w:p>
    <w:p w14:paraId="5C55FB0A" w14:textId="77777777" w:rsidR="006C5C91" w:rsidRDefault="006C5C91" w:rsidP="006C5C91">
      <w:pPr>
        <w:jc w:val="both"/>
        <w:rPr>
          <w:rFonts w:ascii="Arial" w:hAnsi="Arial" w:cs="Arial"/>
          <w:sz w:val="22"/>
          <w:szCs w:val="22"/>
        </w:rPr>
      </w:pPr>
      <w:r w:rsidRPr="00C43C5B">
        <w:rPr>
          <w:rFonts w:ascii="Arial" w:hAnsi="Arial" w:cs="Arial"/>
          <w:sz w:val="22"/>
          <w:szCs w:val="22"/>
        </w:rPr>
        <w:t>Kvalitu dat, zadávaných do evidencí provozovateli pěstitelských pálenic, lze bez změny legislativy jen těžko ovlivnit.</w:t>
      </w:r>
    </w:p>
    <w:p w14:paraId="698C9F06" w14:textId="77777777" w:rsidR="00D51C6C" w:rsidRPr="001A7D51" w:rsidRDefault="00D51C6C" w:rsidP="00D51C6C">
      <w:pPr>
        <w:jc w:val="both"/>
        <w:rPr>
          <w:rFonts w:ascii="Arial" w:hAnsi="Arial" w:cs="Arial"/>
          <w:sz w:val="22"/>
          <w:szCs w:val="22"/>
        </w:rPr>
      </w:pPr>
      <w:r w:rsidRPr="001A7D51">
        <w:rPr>
          <w:rFonts w:ascii="Arial" w:hAnsi="Arial" w:cs="Arial"/>
          <w:sz w:val="22"/>
          <w:szCs w:val="22"/>
        </w:rPr>
        <w:t>O výsledcích kontroly NKÚ byly podřízené celní úřady informovány na pracovní poradě dne 10. 9. 2015 a výstupy předány k přijetí dalších opatření.</w:t>
      </w:r>
    </w:p>
    <w:p w14:paraId="52BD94B3" w14:textId="77777777" w:rsidR="00D51C6C" w:rsidRDefault="00D51C6C" w:rsidP="00D51C6C">
      <w:pPr>
        <w:autoSpaceDE w:val="0"/>
        <w:autoSpaceDN w:val="0"/>
        <w:adjustRightInd w:val="0"/>
        <w:jc w:val="both"/>
        <w:outlineLvl w:val="0"/>
        <w:rPr>
          <w:rFonts w:ascii="Arial" w:hAnsi="Arial" w:cs="Arial"/>
          <w:sz w:val="22"/>
          <w:szCs w:val="22"/>
        </w:rPr>
      </w:pPr>
      <w:r w:rsidRPr="001A7D51">
        <w:rPr>
          <w:rFonts w:ascii="Arial" w:hAnsi="Arial" w:cs="Arial"/>
          <w:sz w:val="22"/>
          <w:szCs w:val="22"/>
        </w:rPr>
        <w:t>GŘC v následujícím období provede kontrolu přijatých opatření na CÚ.</w:t>
      </w:r>
    </w:p>
    <w:p w14:paraId="4DFE89F8" w14:textId="77777777" w:rsidR="00C45AC4" w:rsidRDefault="00C45AC4" w:rsidP="006C5C91">
      <w:pPr>
        <w:jc w:val="both"/>
        <w:rPr>
          <w:rFonts w:ascii="Arial" w:hAnsi="Arial" w:cs="Arial"/>
          <w:sz w:val="22"/>
          <w:szCs w:val="22"/>
        </w:rPr>
      </w:pPr>
    </w:p>
    <w:p w14:paraId="38FFBAFF" w14:textId="77777777" w:rsidR="00E75400" w:rsidRPr="00C45AC4" w:rsidRDefault="00E75400" w:rsidP="00C126A0">
      <w:pPr>
        <w:autoSpaceDE w:val="0"/>
        <w:autoSpaceDN w:val="0"/>
        <w:adjustRightInd w:val="0"/>
        <w:jc w:val="both"/>
        <w:outlineLvl w:val="0"/>
        <w:rPr>
          <w:rFonts w:ascii="Arial" w:hAnsi="Arial" w:cs="Arial"/>
          <w:b/>
          <w:noProof/>
          <w:sz w:val="22"/>
          <w:szCs w:val="22"/>
        </w:rPr>
      </w:pPr>
    </w:p>
    <w:p w14:paraId="45B5A28D" w14:textId="77777777" w:rsidR="00C95F82" w:rsidRPr="00C91AC8" w:rsidRDefault="00C45AC4" w:rsidP="00C95F82">
      <w:pPr>
        <w:pStyle w:val="Default"/>
        <w:jc w:val="both"/>
        <w:rPr>
          <w:rFonts w:ascii="Arial" w:hAnsi="Arial" w:cs="Arial"/>
          <w:b/>
          <w:bCs/>
          <w:color w:val="auto"/>
          <w:sz w:val="22"/>
          <w:szCs w:val="22"/>
        </w:rPr>
      </w:pPr>
      <w:r>
        <w:rPr>
          <w:rFonts w:ascii="Arial" w:hAnsi="Arial" w:cs="Arial"/>
          <w:b/>
          <w:bCs/>
          <w:color w:val="auto"/>
          <w:sz w:val="22"/>
          <w:szCs w:val="22"/>
        </w:rPr>
        <w:t>Bod 1</w:t>
      </w:r>
      <w:r w:rsidR="00E75400">
        <w:rPr>
          <w:rFonts w:ascii="Arial" w:hAnsi="Arial" w:cs="Arial"/>
          <w:b/>
          <w:bCs/>
          <w:color w:val="auto"/>
          <w:sz w:val="22"/>
          <w:szCs w:val="22"/>
        </w:rPr>
        <w:t xml:space="preserve">h) </w:t>
      </w:r>
      <w:r w:rsidR="00C95F82" w:rsidRPr="00C91AC8">
        <w:rPr>
          <w:rFonts w:ascii="Arial" w:hAnsi="Arial" w:cs="Arial"/>
          <w:b/>
          <w:bCs/>
          <w:color w:val="auto"/>
          <w:sz w:val="22"/>
          <w:szCs w:val="22"/>
        </w:rPr>
        <w:t>Nedostatky v činnosti CÚ u subjektů zapojených do krácení daně</w:t>
      </w:r>
    </w:p>
    <w:p w14:paraId="6429D3DC" w14:textId="77777777" w:rsidR="001B4593" w:rsidRDefault="001B4593" w:rsidP="00C95F82">
      <w:pPr>
        <w:pStyle w:val="Default"/>
        <w:jc w:val="both"/>
        <w:rPr>
          <w:rFonts w:ascii="Times New Roman" w:hAnsi="Times New Roman" w:cs="Times New Roman"/>
          <w:b/>
          <w:bCs/>
          <w:color w:val="auto"/>
          <w:sz w:val="23"/>
          <w:szCs w:val="23"/>
        </w:rPr>
      </w:pPr>
    </w:p>
    <w:p w14:paraId="33B19A8E" w14:textId="77777777" w:rsidR="001B4593" w:rsidRDefault="00C91AC8" w:rsidP="00C95F82">
      <w:pPr>
        <w:pStyle w:val="Default"/>
        <w:jc w:val="both"/>
        <w:rPr>
          <w:rFonts w:ascii="Arial" w:hAnsi="Arial" w:cs="Arial"/>
          <w:i/>
          <w:sz w:val="22"/>
          <w:szCs w:val="22"/>
          <w:u w:val="single"/>
        </w:rPr>
      </w:pPr>
      <w:r w:rsidRPr="00EA6CAB">
        <w:rPr>
          <w:rFonts w:ascii="Arial" w:hAnsi="Arial" w:cs="Arial"/>
          <w:i/>
          <w:sz w:val="22"/>
          <w:szCs w:val="22"/>
          <w:u w:val="single"/>
        </w:rPr>
        <w:t>Zjištění NKÚ</w:t>
      </w:r>
      <w:r w:rsidR="00C22B85">
        <w:rPr>
          <w:rFonts w:ascii="Arial" w:hAnsi="Arial" w:cs="Arial"/>
          <w:i/>
          <w:sz w:val="22"/>
          <w:szCs w:val="22"/>
          <w:u w:val="single"/>
        </w:rPr>
        <w:t>:</w:t>
      </w:r>
    </w:p>
    <w:p w14:paraId="3F830830" w14:textId="77777777" w:rsidR="00952823" w:rsidRPr="00952823" w:rsidRDefault="00952823" w:rsidP="00C95F82">
      <w:pPr>
        <w:pStyle w:val="Default"/>
        <w:jc w:val="both"/>
        <w:rPr>
          <w:rFonts w:ascii="Arial" w:hAnsi="Arial" w:cs="Arial"/>
          <w:bCs/>
          <w:color w:val="auto"/>
          <w:sz w:val="22"/>
          <w:szCs w:val="22"/>
        </w:rPr>
      </w:pPr>
    </w:p>
    <w:p w14:paraId="20DDE1AC" w14:textId="77777777" w:rsidR="00C95F82" w:rsidRPr="00C91AC8" w:rsidRDefault="00C95F82" w:rsidP="00C95F82">
      <w:pPr>
        <w:pStyle w:val="Default"/>
        <w:jc w:val="both"/>
        <w:rPr>
          <w:rFonts w:ascii="Arial" w:hAnsi="Arial" w:cs="Arial"/>
          <w:b/>
          <w:bCs/>
          <w:color w:val="auto"/>
          <w:sz w:val="22"/>
          <w:szCs w:val="22"/>
        </w:rPr>
      </w:pPr>
      <w:r w:rsidRPr="00C91AC8">
        <w:rPr>
          <w:rFonts w:ascii="Arial" w:hAnsi="Arial" w:cs="Arial"/>
          <w:b/>
          <w:bCs/>
          <w:color w:val="auto"/>
          <w:sz w:val="22"/>
          <w:szCs w:val="22"/>
        </w:rPr>
        <w:t>CÚ pro Zlínský kraj</w:t>
      </w:r>
    </w:p>
    <w:p w14:paraId="7B273ADA" w14:textId="77777777" w:rsidR="00C95F82" w:rsidRPr="00C91AC8" w:rsidRDefault="00C45AC4" w:rsidP="00C95F82">
      <w:pPr>
        <w:pStyle w:val="Default"/>
        <w:jc w:val="both"/>
        <w:rPr>
          <w:rFonts w:ascii="Arial" w:hAnsi="Arial" w:cs="Arial"/>
          <w:i/>
          <w:color w:val="auto"/>
          <w:sz w:val="22"/>
          <w:szCs w:val="22"/>
        </w:rPr>
      </w:pPr>
      <w:r>
        <w:rPr>
          <w:rFonts w:ascii="Arial" w:hAnsi="Arial" w:cs="Arial"/>
          <w:i/>
          <w:color w:val="auto"/>
          <w:sz w:val="22"/>
          <w:szCs w:val="22"/>
        </w:rPr>
        <w:t>„</w:t>
      </w:r>
      <w:r w:rsidR="00C95F82" w:rsidRPr="00C91AC8">
        <w:rPr>
          <w:rFonts w:ascii="Arial" w:hAnsi="Arial" w:cs="Arial"/>
          <w:i/>
          <w:color w:val="auto"/>
          <w:sz w:val="22"/>
          <w:szCs w:val="22"/>
        </w:rPr>
        <w:t>Provozovatel lihovaru je povinen o provedené denaturaci vyhotovit záznam obsahující stav plomb na uzávěrách nádob, ve kterých je líh přepravován. NKÚ zjistil, že záznamy o</w:t>
      </w:r>
      <w:r w:rsidR="00C814F5">
        <w:rPr>
          <w:rFonts w:ascii="Arial" w:hAnsi="Arial" w:cs="Arial"/>
          <w:i/>
          <w:color w:val="auto"/>
          <w:sz w:val="22"/>
          <w:szCs w:val="22"/>
        </w:rPr>
        <w:t> </w:t>
      </w:r>
      <w:r w:rsidR="00C95F82" w:rsidRPr="00C91AC8">
        <w:rPr>
          <w:rFonts w:ascii="Arial" w:hAnsi="Arial" w:cs="Arial"/>
          <w:i/>
          <w:color w:val="auto"/>
          <w:sz w:val="22"/>
          <w:szCs w:val="22"/>
        </w:rPr>
        <w:t xml:space="preserve">denaturaci u vysoce rizikového zvláštního lihovaru za roky 2010–2012 neobsahovaly údaj o stavu plomb. NKÚ také zjistil, že pracovníci CÚ nebyli fyzicky přítomni při stáčení lihu do nádrží před denaturací (není písemný záznam o napouštění lihu). Tyto nedostatky byly odstraněny až od roku 2013. </w:t>
      </w:r>
    </w:p>
    <w:p w14:paraId="2B09C651" w14:textId="77777777" w:rsidR="00C95F82" w:rsidRPr="00C91AC8" w:rsidRDefault="00C95F82" w:rsidP="00C95F82">
      <w:pPr>
        <w:pStyle w:val="Default"/>
        <w:jc w:val="both"/>
        <w:rPr>
          <w:rFonts w:ascii="Arial" w:hAnsi="Arial" w:cs="Arial"/>
          <w:i/>
          <w:color w:val="auto"/>
          <w:sz w:val="22"/>
          <w:szCs w:val="22"/>
        </w:rPr>
      </w:pPr>
      <w:r w:rsidRPr="00C91AC8">
        <w:rPr>
          <w:rFonts w:ascii="Arial" w:hAnsi="Arial" w:cs="Arial"/>
          <w:i/>
          <w:color w:val="auto"/>
          <w:sz w:val="22"/>
          <w:szCs w:val="22"/>
        </w:rPr>
        <w:lastRenderedPageBreak/>
        <w:t xml:space="preserve">Nedenaturovaný líh určený k denaturaci musí být skladován v nádobách zajištěných závěrou celního úřadu. NKÚ zjistil, že v roce 2011 CÚ u vysoce rizikového daňového subjektu nezabezpečil plnění této povinnosti, přestože se denaturací lihu účastnil. </w:t>
      </w:r>
    </w:p>
    <w:p w14:paraId="3109D47D" w14:textId="77777777" w:rsidR="00C95F82" w:rsidRPr="00C91AC8" w:rsidRDefault="00C95F82" w:rsidP="00C95F82">
      <w:pPr>
        <w:pStyle w:val="Default"/>
        <w:jc w:val="both"/>
        <w:rPr>
          <w:rFonts w:ascii="Arial" w:hAnsi="Arial" w:cs="Arial"/>
          <w:i/>
          <w:color w:val="auto"/>
          <w:sz w:val="22"/>
          <w:szCs w:val="22"/>
        </w:rPr>
      </w:pPr>
      <w:r w:rsidRPr="00C91AC8">
        <w:rPr>
          <w:rFonts w:ascii="Arial" w:hAnsi="Arial" w:cs="Arial"/>
          <w:i/>
          <w:color w:val="auto"/>
          <w:sz w:val="22"/>
          <w:szCs w:val="22"/>
        </w:rPr>
        <w:t>V letech 2011 až 2013 CÚ neověřil inventurou skutečný fyzický stav veškerého lihu a</w:t>
      </w:r>
      <w:r w:rsidR="00C814F5">
        <w:rPr>
          <w:rFonts w:ascii="Arial" w:hAnsi="Arial" w:cs="Arial"/>
          <w:i/>
          <w:color w:val="auto"/>
          <w:sz w:val="22"/>
          <w:szCs w:val="22"/>
        </w:rPr>
        <w:t> </w:t>
      </w:r>
      <w:r w:rsidRPr="00C91AC8">
        <w:rPr>
          <w:rFonts w:ascii="Arial" w:hAnsi="Arial" w:cs="Arial"/>
          <w:i/>
          <w:color w:val="auto"/>
          <w:sz w:val="22"/>
          <w:szCs w:val="22"/>
        </w:rPr>
        <w:t>neporovnal jej s evidencí daňového skladu. CÚ v letech 2011 a 2012 neověřoval laboratorními rozbory obsah lihu v hotových výrobcích.</w:t>
      </w:r>
    </w:p>
    <w:p w14:paraId="612988B0" w14:textId="77777777" w:rsidR="00C95F82" w:rsidRPr="00C91AC8" w:rsidRDefault="00C95F82" w:rsidP="00C95F82">
      <w:pPr>
        <w:pStyle w:val="Default"/>
        <w:jc w:val="both"/>
        <w:rPr>
          <w:rFonts w:ascii="Arial" w:hAnsi="Arial" w:cs="Arial"/>
          <w:i/>
          <w:color w:val="auto"/>
          <w:sz w:val="22"/>
          <w:szCs w:val="22"/>
        </w:rPr>
      </w:pPr>
      <w:r w:rsidRPr="00C91AC8">
        <w:rPr>
          <w:rFonts w:ascii="Arial" w:hAnsi="Arial" w:cs="Arial"/>
          <w:i/>
          <w:color w:val="auto"/>
          <w:sz w:val="22"/>
          <w:szCs w:val="22"/>
        </w:rPr>
        <w:t>NKÚ zjistil, že CÚ se zúčastnil odstranění kontrolních pásek z lihovin určených k vývozu. Následným laboratorním ověřením bylo zjištěno, že množství předaných odstraněných kontrolních pásek určených ke zničení, vykázané daňovým subjektem a potvrzené CÚ, je ve skutečnosti nižší o 13 399 ks. CÚ zjištěný rozdíl neřešil, přijal pouze opatření spočívající v</w:t>
      </w:r>
      <w:r w:rsidR="00C814F5">
        <w:rPr>
          <w:rFonts w:ascii="Arial" w:hAnsi="Arial" w:cs="Arial"/>
          <w:i/>
          <w:color w:val="auto"/>
          <w:sz w:val="22"/>
          <w:szCs w:val="22"/>
        </w:rPr>
        <w:t> </w:t>
      </w:r>
      <w:r w:rsidRPr="00C91AC8">
        <w:rPr>
          <w:rFonts w:ascii="Arial" w:hAnsi="Arial" w:cs="Arial"/>
          <w:i/>
          <w:color w:val="auto"/>
          <w:sz w:val="22"/>
          <w:szCs w:val="22"/>
        </w:rPr>
        <w:t xml:space="preserve">posílení kontrolních skupin CÚ. </w:t>
      </w:r>
    </w:p>
    <w:p w14:paraId="116DBA82" w14:textId="77777777" w:rsidR="00C95F82" w:rsidRDefault="00C95F82" w:rsidP="00C95F82">
      <w:pPr>
        <w:pStyle w:val="Default"/>
        <w:jc w:val="both"/>
        <w:rPr>
          <w:rFonts w:ascii="Arial" w:hAnsi="Arial" w:cs="Arial"/>
          <w:i/>
          <w:color w:val="auto"/>
          <w:sz w:val="22"/>
          <w:szCs w:val="22"/>
        </w:rPr>
      </w:pPr>
      <w:r w:rsidRPr="00C91AC8">
        <w:rPr>
          <w:rFonts w:ascii="Arial" w:hAnsi="Arial" w:cs="Arial"/>
          <w:i/>
          <w:color w:val="auto"/>
          <w:sz w:val="22"/>
          <w:szCs w:val="22"/>
        </w:rPr>
        <w:t>Jiným celním úřadem byly v roce 2006 u obchodního řetězce zjištěny neznačené lihoviny, jejichž původcem měla být likérka v místní příslušnosti CÚ Zlín, ten však vlastní kontrolní činností nic nezjistil a nepřijal žádná opatření.</w:t>
      </w:r>
      <w:r w:rsidR="00C45AC4">
        <w:rPr>
          <w:rFonts w:ascii="Arial" w:hAnsi="Arial" w:cs="Arial"/>
          <w:i/>
          <w:color w:val="auto"/>
          <w:sz w:val="22"/>
          <w:szCs w:val="22"/>
        </w:rPr>
        <w:t>“</w:t>
      </w:r>
    </w:p>
    <w:p w14:paraId="42D34AD8" w14:textId="77777777" w:rsidR="00A838FB" w:rsidRPr="00C91AC8" w:rsidRDefault="00A838FB" w:rsidP="00C95F82">
      <w:pPr>
        <w:pStyle w:val="Default"/>
        <w:jc w:val="both"/>
        <w:rPr>
          <w:rFonts w:ascii="Arial" w:hAnsi="Arial" w:cs="Arial"/>
          <w:i/>
          <w:color w:val="auto"/>
          <w:sz w:val="22"/>
          <w:szCs w:val="22"/>
        </w:rPr>
      </w:pPr>
    </w:p>
    <w:p w14:paraId="3998B64A" w14:textId="77777777" w:rsidR="00C95F82" w:rsidRPr="00C91AC8" w:rsidRDefault="00C95F82" w:rsidP="00C95F82">
      <w:pPr>
        <w:pStyle w:val="Default"/>
        <w:jc w:val="both"/>
        <w:rPr>
          <w:rFonts w:ascii="Arial" w:hAnsi="Arial" w:cs="Arial"/>
          <w:b/>
          <w:bCs/>
          <w:color w:val="auto"/>
          <w:sz w:val="22"/>
          <w:szCs w:val="22"/>
        </w:rPr>
      </w:pPr>
      <w:r w:rsidRPr="00C91AC8">
        <w:rPr>
          <w:rFonts w:ascii="Arial" w:hAnsi="Arial" w:cs="Arial"/>
          <w:b/>
          <w:bCs/>
          <w:color w:val="auto"/>
          <w:sz w:val="22"/>
          <w:szCs w:val="22"/>
        </w:rPr>
        <w:t>CÚ pro Olomoucký kraj</w:t>
      </w:r>
    </w:p>
    <w:p w14:paraId="3295FD0A" w14:textId="77777777" w:rsidR="00C95F82" w:rsidRPr="00C91AC8" w:rsidRDefault="00C45AC4" w:rsidP="00C95F82">
      <w:pPr>
        <w:pStyle w:val="Default"/>
        <w:jc w:val="both"/>
        <w:rPr>
          <w:rFonts w:ascii="Arial" w:hAnsi="Arial" w:cs="Arial"/>
          <w:i/>
          <w:color w:val="auto"/>
          <w:sz w:val="22"/>
          <w:szCs w:val="22"/>
        </w:rPr>
      </w:pPr>
      <w:r>
        <w:rPr>
          <w:rFonts w:ascii="Arial" w:hAnsi="Arial" w:cs="Arial"/>
          <w:i/>
          <w:color w:val="auto"/>
          <w:sz w:val="22"/>
          <w:szCs w:val="22"/>
        </w:rPr>
        <w:t>„</w:t>
      </w:r>
      <w:r w:rsidR="00C95F82" w:rsidRPr="00C91AC8">
        <w:rPr>
          <w:rFonts w:ascii="Arial" w:hAnsi="Arial" w:cs="Arial"/>
          <w:i/>
          <w:color w:val="auto"/>
          <w:sz w:val="22"/>
          <w:szCs w:val="22"/>
        </w:rPr>
        <w:t>Veškeré množství lihu a denaturačního prostředku určeného a užitého k denaturaci musí být spolehlivě změřeno a záznam o provedené denaturaci musí obsahovat informaci o stavu měřidel. NKÚ zjistil, že kontrolované záznamy o denaturaci údaj o stavu měřidel nebo údaj o</w:t>
      </w:r>
      <w:r w:rsidR="00C814F5">
        <w:rPr>
          <w:rFonts w:ascii="Arial" w:hAnsi="Arial" w:cs="Arial"/>
          <w:i/>
          <w:color w:val="auto"/>
          <w:sz w:val="22"/>
          <w:szCs w:val="22"/>
        </w:rPr>
        <w:t> </w:t>
      </w:r>
      <w:r w:rsidR="00C95F82" w:rsidRPr="00C91AC8">
        <w:rPr>
          <w:rFonts w:ascii="Arial" w:hAnsi="Arial" w:cs="Arial"/>
          <w:i/>
          <w:color w:val="auto"/>
          <w:sz w:val="22"/>
          <w:szCs w:val="22"/>
        </w:rPr>
        <w:t xml:space="preserve">způsobu zjištění množství lihu použitého k denaturaci neobsahovaly. </w:t>
      </w:r>
    </w:p>
    <w:p w14:paraId="3F193F66" w14:textId="77777777" w:rsidR="00C95F82" w:rsidRPr="00C91AC8" w:rsidRDefault="00C95F82" w:rsidP="00C95F82">
      <w:pPr>
        <w:pStyle w:val="Default"/>
        <w:jc w:val="both"/>
        <w:rPr>
          <w:rFonts w:ascii="Arial" w:hAnsi="Arial" w:cs="Arial"/>
          <w:i/>
          <w:color w:val="auto"/>
          <w:sz w:val="22"/>
          <w:szCs w:val="22"/>
        </w:rPr>
      </w:pPr>
      <w:r w:rsidRPr="00C91AC8">
        <w:rPr>
          <w:rFonts w:ascii="Arial" w:hAnsi="Arial" w:cs="Arial"/>
          <w:i/>
          <w:color w:val="auto"/>
          <w:sz w:val="22"/>
          <w:szCs w:val="22"/>
        </w:rPr>
        <w:t>V roce 2011 zjistil CÚ Olomouc u obchodního řetězce výskyt neznačených lihovin. Původ a</w:t>
      </w:r>
      <w:r w:rsidR="00C814F5">
        <w:rPr>
          <w:rFonts w:ascii="Arial" w:hAnsi="Arial" w:cs="Arial"/>
          <w:i/>
          <w:color w:val="auto"/>
          <w:sz w:val="22"/>
          <w:szCs w:val="22"/>
        </w:rPr>
        <w:t> </w:t>
      </w:r>
      <w:r w:rsidRPr="00C91AC8">
        <w:rPr>
          <w:rFonts w:ascii="Arial" w:hAnsi="Arial" w:cs="Arial"/>
          <w:i/>
          <w:color w:val="auto"/>
          <w:sz w:val="22"/>
          <w:szCs w:val="22"/>
        </w:rPr>
        <w:t>zdanění lihovin byly v tomto případě prokázány, avšak CÚ nezjistil, kde došlo k odstranění kontrolních pásek z lihovin, případně zda byly vůbec na lihovinu umístěny.</w:t>
      </w:r>
      <w:r w:rsidR="00C45AC4">
        <w:rPr>
          <w:rFonts w:ascii="Arial" w:hAnsi="Arial" w:cs="Arial"/>
          <w:i/>
          <w:color w:val="auto"/>
          <w:sz w:val="22"/>
          <w:szCs w:val="22"/>
        </w:rPr>
        <w:t>“</w:t>
      </w:r>
    </w:p>
    <w:p w14:paraId="46A212EE" w14:textId="77777777" w:rsidR="00C91AC8" w:rsidRPr="00C91AC8" w:rsidRDefault="00C91AC8" w:rsidP="00C95F82">
      <w:pPr>
        <w:pStyle w:val="Default"/>
        <w:jc w:val="both"/>
        <w:rPr>
          <w:rFonts w:ascii="Arial" w:hAnsi="Arial" w:cs="Arial"/>
          <w:color w:val="auto"/>
          <w:sz w:val="22"/>
          <w:szCs w:val="22"/>
        </w:rPr>
      </w:pPr>
    </w:p>
    <w:p w14:paraId="52BD1D5C" w14:textId="77777777" w:rsidR="00C95F82" w:rsidRPr="00C91AC8" w:rsidRDefault="00C95F82" w:rsidP="00C95F82">
      <w:pPr>
        <w:pStyle w:val="Default"/>
        <w:jc w:val="both"/>
        <w:rPr>
          <w:rFonts w:ascii="Arial" w:hAnsi="Arial" w:cs="Arial"/>
          <w:b/>
          <w:bCs/>
          <w:color w:val="auto"/>
          <w:sz w:val="22"/>
          <w:szCs w:val="22"/>
        </w:rPr>
      </w:pPr>
      <w:r w:rsidRPr="00C91AC8">
        <w:rPr>
          <w:rFonts w:ascii="Arial" w:hAnsi="Arial" w:cs="Arial"/>
          <w:b/>
          <w:bCs/>
          <w:color w:val="auto"/>
          <w:sz w:val="22"/>
          <w:szCs w:val="22"/>
        </w:rPr>
        <w:t>CÚ pro Moravskoslezský kraj</w:t>
      </w:r>
    </w:p>
    <w:p w14:paraId="3C1C37A7" w14:textId="77777777" w:rsidR="00C95F82" w:rsidRPr="00C91AC8" w:rsidRDefault="00C45AC4" w:rsidP="00C95F82">
      <w:pPr>
        <w:pStyle w:val="Default"/>
        <w:jc w:val="both"/>
        <w:rPr>
          <w:rFonts w:ascii="Arial" w:hAnsi="Arial" w:cs="Arial"/>
          <w:i/>
          <w:color w:val="auto"/>
          <w:sz w:val="22"/>
          <w:szCs w:val="22"/>
        </w:rPr>
      </w:pPr>
      <w:r>
        <w:rPr>
          <w:rFonts w:ascii="Arial" w:hAnsi="Arial" w:cs="Arial"/>
          <w:i/>
          <w:color w:val="auto"/>
          <w:sz w:val="22"/>
          <w:szCs w:val="22"/>
        </w:rPr>
        <w:t>„</w:t>
      </w:r>
      <w:r w:rsidR="00C95F82" w:rsidRPr="00C91AC8">
        <w:rPr>
          <w:rFonts w:ascii="Arial" w:hAnsi="Arial" w:cs="Arial"/>
          <w:i/>
          <w:color w:val="auto"/>
          <w:sz w:val="22"/>
          <w:szCs w:val="22"/>
        </w:rPr>
        <w:t>Celní orgán již 7. 1. 2008 vysoce rizikovému daňovému subjektu stanovil podmínku bezodkladného zápisu vyrobeného lihu do evidence, avšak CÚ plnění této podmínky nekontroloval. CÚ roce 2009 zjistil nesrovnalosti a nedostatky ve vedení evidence a</w:t>
      </w:r>
      <w:r w:rsidR="00C814F5">
        <w:rPr>
          <w:rFonts w:ascii="Arial" w:hAnsi="Arial" w:cs="Arial"/>
          <w:i/>
          <w:color w:val="auto"/>
          <w:sz w:val="22"/>
          <w:szCs w:val="22"/>
        </w:rPr>
        <w:t> </w:t>
      </w:r>
      <w:r w:rsidR="00C95F82" w:rsidRPr="00C91AC8">
        <w:rPr>
          <w:rFonts w:ascii="Arial" w:hAnsi="Arial" w:cs="Arial"/>
          <w:i/>
          <w:color w:val="auto"/>
          <w:sz w:val="22"/>
          <w:szCs w:val="22"/>
        </w:rPr>
        <w:t xml:space="preserve">účetnictví za rok 2006, které byly dle zákona důvodem pro odejmutí povolení. CÚ obdobné nedostatky zjistil i v roce 2012 za roky 2008 a 2009. CÚ podnět k zahájení řízení o odejmutí povolení nepodal. </w:t>
      </w:r>
    </w:p>
    <w:p w14:paraId="218FC45B" w14:textId="77777777" w:rsidR="00C95F82" w:rsidRPr="00C91AC8" w:rsidRDefault="00C95F82" w:rsidP="00C95F82">
      <w:pPr>
        <w:pStyle w:val="Default"/>
        <w:jc w:val="both"/>
        <w:rPr>
          <w:rFonts w:ascii="Arial" w:hAnsi="Arial" w:cs="Arial"/>
          <w:i/>
          <w:color w:val="auto"/>
          <w:sz w:val="22"/>
          <w:szCs w:val="22"/>
        </w:rPr>
      </w:pPr>
      <w:r w:rsidRPr="00C91AC8">
        <w:rPr>
          <w:rFonts w:ascii="Arial" w:hAnsi="Arial" w:cs="Arial"/>
          <w:i/>
          <w:color w:val="auto"/>
          <w:sz w:val="22"/>
          <w:szCs w:val="22"/>
        </w:rPr>
        <w:t xml:space="preserve">Začátkem roku 2011 CÚ rozšířil povinnosti pro vedení evidence o další povinné údaje. Daňový subjekt tyto povinnosti neplnil, přesto CÚ jejich plnění nevymáhal. Až 26. 9. 2012 po změně místní příslušnosti a z toho vyplývající změně správce daně odebral příslušný celní orgán tomuto subjektu z důvodu nevedení řádné evidence povolení k provozování daňového skladu. </w:t>
      </w:r>
    </w:p>
    <w:p w14:paraId="236CA3DD" w14:textId="77777777" w:rsidR="00C95F82" w:rsidRDefault="00C95F82" w:rsidP="00C95F82">
      <w:pPr>
        <w:autoSpaceDE w:val="0"/>
        <w:autoSpaceDN w:val="0"/>
        <w:adjustRightInd w:val="0"/>
        <w:jc w:val="both"/>
        <w:outlineLvl w:val="0"/>
        <w:rPr>
          <w:rFonts w:ascii="Arial" w:hAnsi="Arial" w:cs="Arial"/>
          <w:i/>
          <w:sz w:val="22"/>
          <w:szCs w:val="22"/>
        </w:rPr>
      </w:pPr>
      <w:r w:rsidRPr="00C91AC8">
        <w:rPr>
          <w:rFonts w:ascii="Arial" w:hAnsi="Arial" w:cs="Arial"/>
          <w:i/>
          <w:sz w:val="22"/>
          <w:szCs w:val="22"/>
        </w:rPr>
        <w:t>Nadřízený celní orgán 5. 3. 2009 stanovil CÚ povinnost účastnit se inventur kontrolních pásek. CÚ se inventur kontrolních pásek neúčastnil. NKÚ zjistil, že vysoce rizikový subjekt nevedl evidenci kontrolních pásek řádným způsobem (nebylo možné identifikovat čísla šarží a množství kontrolních pásek předaných zahraničnímu dodavateli, zničení kontrolních pásek bylo oznámeno se zpožděním, nespotřebované kontrolní pásky nebyly vráceny ve stanovené lhůtě).</w:t>
      </w:r>
      <w:r w:rsidR="008206D4">
        <w:rPr>
          <w:rFonts w:ascii="Arial" w:hAnsi="Arial" w:cs="Arial"/>
          <w:i/>
          <w:sz w:val="22"/>
          <w:szCs w:val="22"/>
        </w:rPr>
        <w:t>“</w:t>
      </w:r>
    </w:p>
    <w:p w14:paraId="19D70FBB" w14:textId="77777777" w:rsidR="008206D4" w:rsidRPr="00C91AC8" w:rsidRDefault="008206D4" w:rsidP="00C95F82">
      <w:pPr>
        <w:autoSpaceDE w:val="0"/>
        <w:autoSpaceDN w:val="0"/>
        <w:adjustRightInd w:val="0"/>
        <w:jc w:val="both"/>
        <w:outlineLvl w:val="0"/>
        <w:rPr>
          <w:rFonts w:ascii="Arial" w:hAnsi="Arial" w:cs="Arial"/>
          <w:b/>
          <w:i/>
          <w:noProof/>
          <w:sz w:val="22"/>
          <w:szCs w:val="22"/>
        </w:rPr>
      </w:pPr>
    </w:p>
    <w:p w14:paraId="6A83467B" w14:textId="77777777" w:rsidR="00964843" w:rsidRPr="008206D4" w:rsidRDefault="00964843" w:rsidP="00964843">
      <w:pPr>
        <w:autoSpaceDE w:val="0"/>
        <w:autoSpaceDN w:val="0"/>
        <w:adjustRightInd w:val="0"/>
        <w:jc w:val="both"/>
        <w:outlineLvl w:val="0"/>
        <w:rPr>
          <w:rFonts w:ascii="Arial" w:hAnsi="Arial" w:cs="Arial"/>
          <w:bCs/>
          <w:iCs/>
          <w:sz w:val="22"/>
          <w:szCs w:val="22"/>
          <w:u w:val="single"/>
        </w:rPr>
      </w:pPr>
      <w:r w:rsidRPr="008206D4">
        <w:rPr>
          <w:rFonts w:ascii="Arial" w:hAnsi="Arial" w:cs="Arial"/>
          <w:bCs/>
          <w:iCs/>
          <w:sz w:val="22"/>
          <w:szCs w:val="22"/>
          <w:u w:val="single"/>
        </w:rPr>
        <w:t>Stanovisko:</w:t>
      </w:r>
    </w:p>
    <w:p w14:paraId="4933DCD0" w14:textId="77777777" w:rsidR="00964843" w:rsidRPr="008206D4" w:rsidRDefault="00964843" w:rsidP="00964843">
      <w:pPr>
        <w:rPr>
          <w:rFonts w:ascii="Arial" w:hAnsi="Arial" w:cs="Arial"/>
          <w:sz w:val="22"/>
          <w:szCs w:val="22"/>
        </w:rPr>
      </w:pPr>
      <w:r w:rsidRPr="008206D4">
        <w:rPr>
          <w:rFonts w:ascii="Arial" w:hAnsi="Arial" w:cs="Arial"/>
          <w:sz w:val="22"/>
          <w:szCs w:val="22"/>
        </w:rPr>
        <w:t>Nejedná se o systémové pochybení, které by bylo způsobeno chybným nastavením procesů v rámci Celní správy ČR.</w:t>
      </w:r>
    </w:p>
    <w:p w14:paraId="65AAE244" w14:textId="77777777" w:rsidR="00964843" w:rsidRPr="008206D4" w:rsidRDefault="00964843" w:rsidP="00964843">
      <w:pPr>
        <w:jc w:val="both"/>
        <w:rPr>
          <w:rFonts w:ascii="Arial" w:hAnsi="Arial" w:cs="Arial"/>
          <w:sz w:val="22"/>
          <w:szCs w:val="22"/>
        </w:rPr>
      </w:pPr>
      <w:r w:rsidRPr="008206D4">
        <w:rPr>
          <w:rFonts w:ascii="Arial" w:hAnsi="Arial" w:cs="Arial"/>
          <w:sz w:val="22"/>
          <w:szCs w:val="22"/>
        </w:rPr>
        <w:t xml:space="preserve">Nedostatky identifikované NKÚ byly GŘC zjištěny vlastní činností již před provedením kontroly NKÚ. Byla přijata příslušná opatření. </w:t>
      </w:r>
    </w:p>
    <w:p w14:paraId="67B72836" w14:textId="77777777" w:rsidR="00964843" w:rsidRPr="008206D4" w:rsidRDefault="00964843" w:rsidP="00964843">
      <w:pPr>
        <w:jc w:val="both"/>
        <w:rPr>
          <w:rFonts w:ascii="Arial" w:hAnsi="Arial" w:cs="Arial"/>
          <w:sz w:val="22"/>
          <w:szCs w:val="22"/>
        </w:rPr>
      </w:pPr>
      <w:r w:rsidRPr="008206D4">
        <w:rPr>
          <w:rFonts w:ascii="Arial" w:hAnsi="Arial" w:cs="Arial"/>
          <w:sz w:val="22"/>
          <w:szCs w:val="22"/>
        </w:rPr>
        <w:t>Věc je řešena orgány činnými v trestním řízení.</w:t>
      </w:r>
    </w:p>
    <w:p w14:paraId="788E93D4" w14:textId="13760D9E" w:rsidR="00964843" w:rsidRPr="008206D4" w:rsidRDefault="00A6740C" w:rsidP="00964843">
      <w:pPr>
        <w:jc w:val="both"/>
        <w:rPr>
          <w:rFonts w:ascii="Arial" w:hAnsi="Arial" w:cs="Arial"/>
          <w:sz w:val="22"/>
          <w:szCs w:val="22"/>
        </w:rPr>
      </w:pPr>
      <w:r>
        <w:rPr>
          <w:rFonts w:ascii="Arial" w:hAnsi="Arial" w:cs="Arial"/>
          <w:sz w:val="22"/>
          <w:szCs w:val="22"/>
        </w:rPr>
        <w:t>Dne</w:t>
      </w:r>
      <w:r w:rsidRPr="008206D4">
        <w:rPr>
          <w:rFonts w:ascii="Arial" w:hAnsi="Arial" w:cs="Arial"/>
          <w:sz w:val="22"/>
          <w:szCs w:val="22"/>
        </w:rPr>
        <w:t xml:space="preserve"> </w:t>
      </w:r>
      <w:r w:rsidR="00964843" w:rsidRPr="008206D4">
        <w:rPr>
          <w:rFonts w:ascii="Arial" w:hAnsi="Arial" w:cs="Arial"/>
          <w:sz w:val="22"/>
          <w:szCs w:val="22"/>
        </w:rPr>
        <w:t xml:space="preserve">19. 5. 2014 byl vydán rozkaz generálního ředitele č. 30/2014, kterým upravilo </w:t>
      </w:r>
      <w:r>
        <w:rPr>
          <w:rFonts w:ascii="Arial" w:hAnsi="Arial" w:cs="Arial"/>
          <w:sz w:val="22"/>
          <w:szCs w:val="22"/>
        </w:rPr>
        <w:t xml:space="preserve">mj. </w:t>
      </w:r>
      <w:r w:rsidR="00964843" w:rsidRPr="008206D4">
        <w:rPr>
          <w:rFonts w:ascii="Arial" w:hAnsi="Arial" w:cs="Arial"/>
          <w:sz w:val="22"/>
          <w:szCs w:val="22"/>
        </w:rPr>
        <w:t>činnost pracovníků správce daně, personální obsazení kontrolních skupin</w:t>
      </w:r>
      <w:r w:rsidR="009E0150">
        <w:rPr>
          <w:rFonts w:ascii="Arial" w:hAnsi="Arial" w:cs="Arial"/>
          <w:sz w:val="22"/>
          <w:szCs w:val="22"/>
        </w:rPr>
        <w:t xml:space="preserve"> a</w:t>
      </w:r>
      <w:r w:rsidR="00964843" w:rsidRPr="008206D4">
        <w:rPr>
          <w:rFonts w:ascii="Arial" w:hAnsi="Arial" w:cs="Arial"/>
          <w:sz w:val="22"/>
          <w:szCs w:val="22"/>
        </w:rPr>
        <w:t xml:space="preserve"> odběr vzorků. Současně byla zavedena povinnost pořizovat kamerový záznam z prováděné denaturace a</w:t>
      </w:r>
      <w:r w:rsidR="00A838FB">
        <w:rPr>
          <w:rFonts w:ascii="Arial" w:hAnsi="Arial" w:cs="Arial"/>
          <w:sz w:val="22"/>
          <w:szCs w:val="22"/>
        </w:rPr>
        <w:t> </w:t>
      </w:r>
      <w:r w:rsidR="00964843" w:rsidRPr="008206D4">
        <w:rPr>
          <w:rFonts w:ascii="Arial" w:hAnsi="Arial" w:cs="Arial"/>
          <w:sz w:val="22"/>
          <w:szCs w:val="22"/>
        </w:rPr>
        <w:t>tento následně vyhodnocovat služebním funkcionářem.</w:t>
      </w:r>
    </w:p>
    <w:p w14:paraId="10CA21A8" w14:textId="77777777" w:rsidR="00964843" w:rsidRPr="008206D4" w:rsidRDefault="00A6740C" w:rsidP="00964843">
      <w:pPr>
        <w:jc w:val="both"/>
        <w:rPr>
          <w:rFonts w:ascii="Arial" w:hAnsi="Arial" w:cs="Arial"/>
          <w:sz w:val="22"/>
          <w:szCs w:val="22"/>
        </w:rPr>
      </w:pPr>
      <w:r>
        <w:rPr>
          <w:rFonts w:ascii="Arial" w:hAnsi="Arial" w:cs="Arial"/>
          <w:sz w:val="22"/>
          <w:szCs w:val="22"/>
        </w:rPr>
        <w:lastRenderedPageBreak/>
        <w:t>Dne</w:t>
      </w:r>
      <w:r w:rsidR="00964843" w:rsidRPr="008206D4">
        <w:rPr>
          <w:rFonts w:ascii="Arial" w:hAnsi="Arial" w:cs="Arial"/>
          <w:sz w:val="22"/>
          <w:szCs w:val="22"/>
        </w:rPr>
        <w:t xml:space="preserve"> 2. 4. 2015 byla rozkazem generálního ředitele č. 39/2015 ustanovena na GŘC pracovní skupina „Denaturace“, která provedla zhodnocení stávajícího stavu a provádí kontrolní činnost ce</w:t>
      </w:r>
      <w:r w:rsidR="00952823">
        <w:rPr>
          <w:rFonts w:ascii="Arial" w:hAnsi="Arial" w:cs="Arial"/>
          <w:sz w:val="22"/>
          <w:szCs w:val="22"/>
        </w:rPr>
        <w:t>lních úřadů v rámci denaturací.</w:t>
      </w:r>
    </w:p>
    <w:p w14:paraId="3579E467" w14:textId="77777777" w:rsidR="002C1611" w:rsidRDefault="002C1611" w:rsidP="00C126A0">
      <w:pPr>
        <w:autoSpaceDE w:val="0"/>
        <w:autoSpaceDN w:val="0"/>
        <w:adjustRightInd w:val="0"/>
        <w:jc w:val="both"/>
        <w:outlineLvl w:val="0"/>
        <w:rPr>
          <w:rFonts w:ascii="Arial" w:hAnsi="Arial" w:cs="Arial"/>
          <w:b/>
          <w:noProof/>
          <w:sz w:val="22"/>
          <w:szCs w:val="22"/>
        </w:rPr>
      </w:pPr>
    </w:p>
    <w:p w14:paraId="203C0A01" w14:textId="77777777" w:rsidR="00964843" w:rsidRPr="00C91AC8" w:rsidRDefault="00964843" w:rsidP="00C126A0">
      <w:pPr>
        <w:autoSpaceDE w:val="0"/>
        <w:autoSpaceDN w:val="0"/>
        <w:adjustRightInd w:val="0"/>
        <w:jc w:val="both"/>
        <w:outlineLvl w:val="0"/>
        <w:rPr>
          <w:rFonts w:ascii="Arial" w:hAnsi="Arial" w:cs="Arial"/>
          <w:b/>
          <w:noProof/>
          <w:sz w:val="22"/>
          <w:szCs w:val="22"/>
        </w:rPr>
      </w:pPr>
    </w:p>
    <w:p w14:paraId="3A587FE3" w14:textId="77777777" w:rsidR="00C95F82" w:rsidRPr="00C91AC8" w:rsidRDefault="008206D4" w:rsidP="00C95F82">
      <w:pPr>
        <w:pStyle w:val="Default"/>
        <w:jc w:val="both"/>
        <w:rPr>
          <w:rFonts w:ascii="Arial" w:hAnsi="Arial" w:cs="Arial"/>
          <w:b/>
          <w:bCs/>
          <w:color w:val="auto"/>
          <w:sz w:val="22"/>
          <w:szCs w:val="22"/>
        </w:rPr>
      </w:pPr>
      <w:r>
        <w:rPr>
          <w:rFonts w:ascii="Arial" w:hAnsi="Arial" w:cs="Arial"/>
          <w:b/>
          <w:noProof/>
          <w:sz w:val="22"/>
          <w:szCs w:val="22"/>
        </w:rPr>
        <w:t xml:space="preserve">Bod 2. </w:t>
      </w:r>
      <w:r w:rsidR="00C95F82" w:rsidRPr="00C91AC8">
        <w:rPr>
          <w:rFonts w:ascii="Arial" w:hAnsi="Arial" w:cs="Arial"/>
          <w:b/>
          <w:bCs/>
          <w:color w:val="auto"/>
          <w:sz w:val="22"/>
          <w:szCs w:val="22"/>
        </w:rPr>
        <w:t>Správa SPD z tabákových výrobků</w:t>
      </w:r>
    </w:p>
    <w:p w14:paraId="702EF1CB" w14:textId="77777777" w:rsidR="009A74E7" w:rsidRDefault="009A74E7" w:rsidP="00C95F82">
      <w:pPr>
        <w:pStyle w:val="Default"/>
        <w:jc w:val="both"/>
        <w:rPr>
          <w:rFonts w:ascii="Arial" w:hAnsi="Arial" w:cs="Arial"/>
          <w:i/>
          <w:sz w:val="22"/>
          <w:szCs w:val="22"/>
          <w:u w:val="single"/>
        </w:rPr>
      </w:pPr>
    </w:p>
    <w:p w14:paraId="53FED9C7" w14:textId="77777777" w:rsidR="00C91AC8" w:rsidRPr="00C91AC8" w:rsidRDefault="00C91AC8" w:rsidP="00C95F82">
      <w:pPr>
        <w:pStyle w:val="Default"/>
        <w:jc w:val="both"/>
        <w:rPr>
          <w:rFonts w:ascii="Arial" w:hAnsi="Arial" w:cs="Arial"/>
          <w:b/>
          <w:bCs/>
          <w:color w:val="auto"/>
          <w:sz w:val="22"/>
          <w:szCs w:val="22"/>
        </w:rPr>
      </w:pPr>
      <w:r w:rsidRPr="00C91AC8">
        <w:rPr>
          <w:rFonts w:ascii="Arial" w:hAnsi="Arial" w:cs="Arial"/>
          <w:i/>
          <w:sz w:val="22"/>
          <w:szCs w:val="22"/>
          <w:u w:val="single"/>
        </w:rPr>
        <w:t>Zjištění NKÚ</w:t>
      </w:r>
      <w:r w:rsidR="008206D4">
        <w:rPr>
          <w:rFonts w:ascii="Arial" w:hAnsi="Arial" w:cs="Arial"/>
          <w:i/>
          <w:sz w:val="22"/>
          <w:szCs w:val="22"/>
          <w:u w:val="single"/>
        </w:rPr>
        <w:t>:</w:t>
      </w:r>
    </w:p>
    <w:p w14:paraId="72F589D2" w14:textId="77777777" w:rsidR="00C95F82" w:rsidRPr="000366EB" w:rsidRDefault="008206D4" w:rsidP="00C91AC8">
      <w:pPr>
        <w:autoSpaceDE w:val="0"/>
        <w:autoSpaceDN w:val="0"/>
        <w:adjustRightInd w:val="0"/>
        <w:jc w:val="both"/>
        <w:rPr>
          <w:rFonts w:ascii="Arial" w:hAnsi="Arial" w:cs="Arial"/>
          <w:i/>
          <w:sz w:val="22"/>
          <w:szCs w:val="22"/>
        </w:rPr>
      </w:pPr>
      <w:r w:rsidRPr="000366EB">
        <w:rPr>
          <w:rFonts w:ascii="Arial" w:hAnsi="Arial" w:cs="Arial"/>
          <w:i/>
          <w:sz w:val="22"/>
          <w:szCs w:val="22"/>
        </w:rPr>
        <w:t>„</w:t>
      </w:r>
      <w:r w:rsidR="00C95F82" w:rsidRPr="000366EB">
        <w:rPr>
          <w:rFonts w:ascii="Arial" w:hAnsi="Arial" w:cs="Arial"/>
          <w:i/>
          <w:sz w:val="22"/>
          <w:szCs w:val="22"/>
        </w:rPr>
        <w:t>V období od 1. 1. 2004 do 1. 12. 2014 došlo k devíti změnám sazby SPD z tabáku a</w:t>
      </w:r>
      <w:r w:rsidR="00C814F5" w:rsidRPr="000366EB">
        <w:rPr>
          <w:rFonts w:ascii="Arial" w:hAnsi="Arial" w:cs="Arial"/>
          <w:i/>
          <w:sz w:val="22"/>
          <w:szCs w:val="22"/>
        </w:rPr>
        <w:t> </w:t>
      </w:r>
      <w:r w:rsidR="00C95F82" w:rsidRPr="000366EB">
        <w:rPr>
          <w:rFonts w:ascii="Arial" w:hAnsi="Arial" w:cs="Arial"/>
          <w:i/>
          <w:sz w:val="22"/>
          <w:szCs w:val="22"/>
        </w:rPr>
        <w:t>tabákových výrobků. V závislosti na zvyšování sazby docházelo v letech 2012–2014 k</w:t>
      </w:r>
      <w:r w:rsidR="00C814F5" w:rsidRPr="000366EB">
        <w:rPr>
          <w:rFonts w:ascii="Arial" w:hAnsi="Arial" w:cs="Arial"/>
          <w:i/>
          <w:sz w:val="22"/>
          <w:szCs w:val="22"/>
        </w:rPr>
        <w:t> </w:t>
      </w:r>
      <w:r w:rsidR="00C95F82" w:rsidRPr="000366EB">
        <w:rPr>
          <w:rFonts w:ascii="Arial" w:hAnsi="Arial" w:cs="Arial"/>
          <w:i/>
          <w:sz w:val="22"/>
          <w:szCs w:val="22"/>
        </w:rPr>
        <w:t>předzásobení tabákovými výrobky se „starou“ sazbou, které byly prodávány konečnému spotřebiteli v době účinnosti „nové“, vyšší sazby SPD. Zvýšená sazba SPD se projevila v</w:t>
      </w:r>
      <w:r w:rsidR="00C814F5" w:rsidRPr="000366EB">
        <w:rPr>
          <w:rFonts w:ascii="Arial" w:hAnsi="Arial" w:cs="Arial"/>
          <w:i/>
          <w:sz w:val="22"/>
          <w:szCs w:val="22"/>
        </w:rPr>
        <w:t> </w:t>
      </w:r>
      <w:r w:rsidR="00C95F82" w:rsidRPr="000366EB">
        <w:rPr>
          <w:rFonts w:ascii="Arial" w:hAnsi="Arial" w:cs="Arial"/>
          <w:i/>
          <w:sz w:val="22"/>
          <w:szCs w:val="22"/>
        </w:rPr>
        <w:t xml:space="preserve">příjmech státního rozpočtu se zpožděním až po vyčerpání zásob tabákových výrobků označených „starou“ sazbou SPD. Při změně sazby SPD z tabákových výrobků v období 2004 až 2014 řešila právní úprava předzásobení tabákovými výrobky a režim upravující uplatnění „staré“ sazby SPD čtyřmi protichůdnými způsoby, přičemž účinná úprava byla zavedena až od 1. 12. 2014. Ze strany GŘC bylo Ministerstvo financí na problematiku předzásobení upozorňováno minimálně od roku 2007. </w:t>
      </w:r>
    </w:p>
    <w:p w14:paraId="50B53805" w14:textId="77777777" w:rsidR="00C95F82" w:rsidRPr="00C91AC8" w:rsidRDefault="00C95F82" w:rsidP="00C91AC8">
      <w:pPr>
        <w:pStyle w:val="Default"/>
        <w:jc w:val="both"/>
        <w:rPr>
          <w:rFonts w:ascii="Arial" w:hAnsi="Arial" w:cs="Arial"/>
          <w:i/>
          <w:sz w:val="22"/>
          <w:szCs w:val="22"/>
        </w:rPr>
      </w:pPr>
      <w:r w:rsidRPr="000366EB">
        <w:rPr>
          <w:rFonts w:ascii="Arial" w:hAnsi="Arial" w:cs="Arial"/>
          <w:i/>
          <w:color w:val="auto"/>
          <w:sz w:val="22"/>
          <w:szCs w:val="22"/>
        </w:rPr>
        <w:t>Celní orgány vydávající povolení k provozování daňových skladů údaje o předpokládaném ročním objemu výroby, skladování, zpracování a prodeje tabákových výrobků přijímaných v</w:t>
      </w:r>
      <w:r w:rsidR="00C814F5" w:rsidRPr="000366EB">
        <w:rPr>
          <w:rFonts w:ascii="Arial" w:hAnsi="Arial" w:cs="Arial"/>
          <w:i/>
          <w:color w:val="auto"/>
          <w:sz w:val="22"/>
          <w:szCs w:val="22"/>
        </w:rPr>
        <w:t> </w:t>
      </w:r>
      <w:r w:rsidRPr="000366EB">
        <w:rPr>
          <w:rFonts w:ascii="Arial" w:hAnsi="Arial" w:cs="Arial"/>
          <w:i/>
          <w:color w:val="auto"/>
          <w:sz w:val="22"/>
          <w:szCs w:val="22"/>
        </w:rPr>
        <w:t xml:space="preserve">režimu podmíněného osvobození od daně neprověřovaly, neboť právní úprava omezovala jejich oprávnění k vyžadování podkladů pro vydání povolení. Právní úprava nevymezovala jednoznačným způsobem, zda měl být předpokládaný objem součtem všech způsobů nakládání, nebo </w:t>
      </w:r>
      <w:proofErr w:type="gramStart"/>
      <w:r w:rsidRPr="000366EB">
        <w:rPr>
          <w:rFonts w:ascii="Arial" w:hAnsi="Arial" w:cs="Arial"/>
          <w:i/>
          <w:color w:val="auto"/>
          <w:sz w:val="22"/>
          <w:szCs w:val="22"/>
        </w:rPr>
        <w:t>měl</w:t>
      </w:r>
      <w:proofErr w:type="gramEnd"/>
      <w:r w:rsidRPr="000366EB">
        <w:rPr>
          <w:rFonts w:ascii="Arial" w:hAnsi="Arial" w:cs="Arial"/>
          <w:i/>
          <w:color w:val="auto"/>
          <w:sz w:val="22"/>
          <w:szCs w:val="22"/>
        </w:rPr>
        <w:t xml:space="preserve"> být v povolení uveden jednotlivě za každý způsob nakládání s v. v. Celní orgány </w:t>
      </w:r>
      <w:proofErr w:type="gramStart"/>
      <w:r w:rsidRPr="000366EB">
        <w:rPr>
          <w:rFonts w:ascii="Arial" w:hAnsi="Arial" w:cs="Arial"/>
          <w:i/>
          <w:color w:val="auto"/>
          <w:sz w:val="22"/>
          <w:szCs w:val="22"/>
        </w:rPr>
        <w:t>uváděly</w:t>
      </w:r>
      <w:proofErr w:type="gramEnd"/>
      <w:r w:rsidRPr="000366EB">
        <w:rPr>
          <w:rFonts w:ascii="Arial" w:hAnsi="Arial" w:cs="Arial"/>
          <w:i/>
          <w:color w:val="auto"/>
          <w:sz w:val="22"/>
          <w:szCs w:val="22"/>
        </w:rPr>
        <w:t xml:space="preserve"> předpokládaný objem pouze jednou hodnotou, která nebyla blíže specifikována.</w:t>
      </w:r>
    </w:p>
    <w:p w14:paraId="53330609" w14:textId="77777777" w:rsidR="00C95F82" w:rsidRPr="00C91AC8" w:rsidRDefault="00C95F82" w:rsidP="00C91AC8">
      <w:pPr>
        <w:autoSpaceDE w:val="0"/>
        <w:autoSpaceDN w:val="0"/>
        <w:adjustRightInd w:val="0"/>
        <w:jc w:val="both"/>
        <w:rPr>
          <w:rFonts w:ascii="Arial" w:hAnsi="Arial" w:cs="Arial"/>
          <w:i/>
          <w:sz w:val="22"/>
          <w:szCs w:val="22"/>
        </w:rPr>
      </w:pPr>
      <w:r w:rsidRPr="00C91AC8">
        <w:rPr>
          <w:rFonts w:ascii="Arial" w:hAnsi="Arial" w:cs="Arial"/>
          <w:i/>
          <w:sz w:val="22"/>
          <w:szCs w:val="22"/>
        </w:rPr>
        <w:t>V jednom případě NKÚ zjistil, že celní orgán povolující provozování daňového skladu neprozkoumal dostatečně vlastnosti tabákových výrobků rozhodné pro jejich zdanění a</w:t>
      </w:r>
      <w:r w:rsidR="00764F51">
        <w:rPr>
          <w:rFonts w:ascii="Arial" w:hAnsi="Arial" w:cs="Arial"/>
          <w:i/>
          <w:sz w:val="22"/>
          <w:szCs w:val="22"/>
        </w:rPr>
        <w:t> </w:t>
      </w:r>
      <w:r w:rsidRPr="00C91AC8">
        <w:rPr>
          <w:rFonts w:ascii="Arial" w:hAnsi="Arial" w:cs="Arial"/>
          <w:i/>
          <w:sz w:val="22"/>
          <w:szCs w:val="22"/>
        </w:rPr>
        <w:t>vydané povolení neobsahovalo povinné náležitosti (názvy tabákových výrobků). V</w:t>
      </w:r>
      <w:r w:rsidR="00764F51">
        <w:rPr>
          <w:rFonts w:ascii="Arial" w:hAnsi="Arial" w:cs="Arial"/>
          <w:i/>
          <w:sz w:val="22"/>
          <w:szCs w:val="22"/>
        </w:rPr>
        <w:t> </w:t>
      </w:r>
      <w:r w:rsidRPr="00C91AC8">
        <w:rPr>
          <w:rFonts w:ascii="Arial" w:hAnsi="Arial" w:cs="Arial"/>
          <w:i/>
          <w:sz w:val="22"/>
          <w:szCs w:val="22"/>
        </w:rPr>
        <w:t>důsledku tohoto nedostatku došlo ke snížení inkasa SPD, a to o 34,9 mil. Kč.</w:t>
      </w:r>
    </w:p>
    <w:p w14:paraId="677B6886" w14:textId="77777777" w:rsidR="00C95F82" w:rsidRPr="00C91AC8" w:rsidRDefault="00C95F82" w:rsidP="00C91AC8">
      <w:pPr>
        <w:pStyle w:val="Default"/>
        <w:jc w:val="both"/>
        <w:rPr>
          <w:rFonts w:ascii="Arial" w:hAnsi="Arial" w:cs="Arial"/>
          <w:i/>
          <w:color w:val="auto"/>
          <w:sz w:val="22"/>
          <w:szCs w:val="22"/>
        </w:rPr>
      </w:pPr>
      <w:r w:rsidRPr="00C91AC8">
        <w:rPr>
          <w:rFonts w:ascii="Arial" w:hAnsi="Arial" w:cs="Arial"/>
          <w:i/>
          <w:color w:val="auto"/>
          <w:sz w:val="22"/>
          <w:szCs w:val="22"/>
        </w:rPr>
        <w:t xml:space="preserve">U dvou CÚ byl zjištěn obdobný případ, kdy celní orgán v rozporu se zákonem o SPD neodejmul oprávněnému příjemci povolení pro opakované přijímání v. v., přestože tento příjemce více než tři měsíce bezdůvodně nepřijímal tabákové výrobky. </w:t>
      </w:r>
    </w:p>
    <w:p w14:paraId="0465D40B" w14:textId="77777777" w:rsidR="00C95F82" w:rsidRPr="00C91AC8" w:rsidRDefault="00C95F82" w:rsidP="00C91AC8">
      <w:pPr>
        <w:pStyle w:val="Default"/>
        <w:jc w:val="both"/>
        <w:rPr>
          <w:rFonts w:ascii="Arial" w:hAnsi="Arial" w:cs="Arial"/>
          <w:i/>
          <w:color w:val="auto"/>
          <w:sz w:val="22"/>
          <w:szCs w:val="22"/>
        </w:rPr>
      </w:pPr>
      <w:r w:rsidRPr="00C91AC8">
        <w:rPr>
          <w:rFonts w:ascii="Arial" w:hAnsi="Arial" w:cs="Arial"/>
          <w:i/>
          <w:color w:val="auto"/>
          <w:sz w:val="22"/>
          <w:szCs w:val="22"/>
        </w:rPr>
        <w:t>Pověřený CÚ množství objednaných tabákových nálepek neporovnával s povoleními k</w:t>
      </w:r>
      <w:r w:rsidR="00764F51">
        <w:rPr>
          <w:rFonts w:ascii="Arial" w:hAnsi="Arial" w:cs="Arial"/>
          <w:i/>
          <w:color w:val="auto"/>
          <w:sz w:val="22"/>
          <w:szCs w:val="22"/>
        </w:rPr>
        <w:t> </w:t>
      </w:r>
      <w:r w:rsidRPr="00C91AC8">
        <w:rPr>
          <w:rFonts w:ascii="Arial" w:hAnsi="Arial" w:cs="Arial"/>
          <w:i/>
          <w:color w:val="auto"/>
          <w:sz w:val="22"/>
          <w:szCs w:val="22"/>
        </w:rPr>
        <w:t>provozování daňového skladu ani s povoleními vydanými oprávněným příjemcům. NKÚ na kontrolním vzorku 29 nejvýznamnějších odběratelů tabákových nálepek zjistil, že objem odebraných tabákových nálepek v příslušných letech u 34 % odběratelů přesahoval alespoň v jednom roce předpokládaný roční objem nakládání s tabákovými výrobky uvedený v</w:t>
      </w:r>
      <w:r w:rsidR="00764F51">
        <w:rPr>
          <w:rFonts w:ascii="Arial" w:hAnsi="Arial" w:cs="Arial"/>
          <w:i/>
          <w:color w:val="auto"/>
          <w:sz w:val="22"/>
          <w:szCs w:val="22"/>
        </w:rPr>
        <w:t> </w:t>
      </w:r>
      <w:r w:rsidRPr="00C91AC8">
        <w:rPr>
          <w:rFonts w:ascii="Arial" w:hAnsi="Arial" w:cs="Arial"/>
          <w:i/>
          <w:color w:val="auto"/>
          <w:sz w:val="22"/>
          <w:szCs w:val="22"/>
        </w:rPr>
        <w:t xml:space="preserve">povolení a u 7 % nebylo možné skutečnosti ověřit. </w:t>
      </w:r>
    </w:p>
    <w:p w14:paraId="51846B08" w14:textId="77777777" w:rsidR="00C95F82" w:rsidRPr="00C91AC8" w:rsidRDefault="00C95F82" w:rsidP="00C91AC8">
      <w:pPr>
        <w:pStyle w:val="Default"/>
        <w:jc w:val="both"/>
        <w:rPr>
          <w:rFonts w:ascii="Arial" w:hAnsi="Arial" w:cs="Arial"/>
          <w:i/>
          <w:color w:val="auto"/>
          <w:sz w:val="22"/>
          <w:szCs w:val="22"/>
        </w:rPr>
      </w:pPr>
      <w:r w:rsidRPr="00C91AC8">
        <w:rPr>
          <w:rFonts w:ascii="Arial" w:hAnsi="Arial" w:cs="Arial"/>
          <w:i/>
          <w:color w:val="auto"/>
          <w:sz w:val="22"/>
          <w:szCs w:val="22"/>
        </w:rPr>
        <w:t xml:space="preserve">Pověřený CÚ v rozporu s daňovým řádem a zákonem o SPD až do konce roku 2014 nezajistil kontrolu skutečností rozhodných pro správu daně, tedy kontrolu: </w:t>
      </w:r>
    </w:p>
    <w:p w14:paraId="600B0538" w14:textId="77777777" w:rsidR="00C95F82" w:rsidRPr="00C91AC8" w:rsidRDefault="00C95F82" w:rsidP="00C91AC8">
      <w:pPr>
        <w:pStyle w:val="Default"/>
        <w:numPr>
          <w:ilvl w:val="0"/>
          <w:numId w:val="3"/>
        </w:numPr>
        <w:spacing w:after="22"/>
        <w:jc w:val="both"/>
        <w:rPr>
          <w:rFonts w:ascii="Arial" w:hAnsi="Arial" w:cs="Arial"/>
          <w:i/>
          <w:color w:val="auto"/>
          <w:sz w:val="22"/>
          <w:szCs w:val="22"/>
        </w:rPr>
      </w:pPr>
      <w:r w:rsidRPr="00C91AC8">
        <w:rPr>
          <w:rFonts w:ascii="Arial" w:hAnsi="Arial" w:cs="Arial"/>
          <w:i/>
          <w:color w:val="auto"/>
          <w:sz w:val="22"/>
          <w:szCs w:val="22"/>
        </w:rPr>
        <w:t xml:space="preserve">inventur tabákových nálepek; </w:t>
      </w:r>
    </w:p>
    <w:p w14:paraId="21D42417" w14:textId="77777777" w:rsidR="00C95F82" w:rsidRPr="00C91AC8" w:rsidRDefault="00C95F82" w:rsidP="00C91AC8">
      <w:pPr>
        <w:pStyle w:val="Default"/>
        <w:numPr>
          <w:ilvl w:val="0"/>
          <w:numId w:val="3"/>
        </w:numPr>
        <w:spacing w:after="22"/>
        <w:jc w:val="both"/>
        <w:rPr>
          <w:rFonts w:ascii="Arial" w:hAnsi="Arial" w:cs="Arial"/>
          <w:i/>
          <w:color w:val="auto"/>
          <w:sz w:val="22"/>
          <w:szCs w:val="22"/>
        </w:rPr>
      </w:pPr>
      <w:r w:rsidRPr="00C91AC8">
        <w:rPr>
          <w:rFonts w:ascii="Arial" w:hAnsi="Arial" w:cs="Arial"/>
          <w:i/>
          <w:color w:val="auto"/>
          <w:sz w:val="22"/>
          <w:szCs w:val="22"/>
        </w:rPr>
        <w:t xml:space="preserve">vedení evidence odebraných, použitých a poškozených tabákových nálepek; </w:t>
      </w:r>
    </w:p>
    <w:p w14:paraId="62794BAA" w14:textId="77777777" w:rsidR="00C95F82" w:rsidRDefault="00C95F82" w:rsidP="00C91AC8">
      <w:pPr>
        <w:pStyle w:val="Default"/>
        <w:numPr>
          <w:ilvl w:val="0"/>
          <w:numId w:val="3"/>
        </w:numPr>
        <w:jc w:val="both"/>
        <w:rPr>
          <w:rFonts w:ascii="Arial" w:hAnsi="Arial" w:cs="Arial"/>
          <w:i/>
          <w:color w:val="auto"/>
          <w:sz w:val="22"/>
          <w:szCs w:val="22"/>
        </w:rPr>
      </w:pPr>
      <w:r w:rsidRPr="00C91AC8">
        <w:rPr>
          <w:rFonts w:ascii="Arial" w:hAnsi="Arial" w:cs="Arial"/>
          <w:i/>
          <w:color w:val="auto"/>
          <w:sz w:val="22"/>
          <w:szCs w:val="22"/>
        </w:rPr>
        <w:t>oprávněného užití „staré“ sazby SPD v případě její změny, tj. umístění tabákových nálepek na spotřebitelská balení a jejich následné uvedení do volného daňového oběhu před účinností změny sazby SPD. V roce 2015 celní orgány zjistily čtyři případy uvedení tabákových výrobků do volného daňového</w:t>
      </w:r>
      <w:r w:rsidR="008206D4">
        <w:rPr>
          <w:rFonts w:ascii="Arial" w:hAnsi="Arial" w:cs="Arial"/>
          <w:i/>
          <w:color w:val="auto"/>
          <w:sz w:val="22"/>
          <w:szCs w:val="22"/>
        </w:rPr>
        <w:t xml:space="preserve"> oběhu s nesprávnou sazbou SPD.“</w:t>
      </w:r>
    </w:p>
    <w:p w14:paraId="62589345" w14:textId="77777777" w:rsidR="008206D4" w:rsidRPr="008206D4" w:rsidRDefault="008206D4" w:rsidP="008206D4">
      <w:pPr>
        <w:pStyle w:val="Default"/>
        <w:jc w:val="both"/>
        <w:rPr>
          <w:rFonts w:ascii="Arial" w:hAnsi="Arial" w:cs="Arial"/>
          <w:i/>
          <w:color w:val="auto"/>
          <w:sz w:val="22"/>
          <w:szCs w:val="22"/>
        </w:rPr>
      </w:pPr>
    </w:p>
    <w:p w14:paraId="7B16A816" w14:textId="77777777" w:rsidR="00964843" w:rsidRPr="008206D4" w:rsidRDefault="00964843" w:rsidP="00964843">
      <w:pPr>
        <w:autoSpaceDE w:val="0"/>
        <w:autoSpaceDN w:val="0"/>
        <w:adjustRightInd w:val="0"/>
        <w:jc w:val="both"/>
        <w:outlineLvl w:val="0"/>
        <w:rPr>
          <w:rFonts w:ascii="Arial" w:hAnsi="Arial" w:cs="Arial"/>
          <w:bCs/>
          <w:iCs/>
          <w:sz w:val="22"/>
          <w:szCs w:val="22"/>
          <w:u w:val="single"/>
        </w:rPr>
      </w:pPr>
      <w:r w:rsidRPr="008206D4">
        <w:rPr>
          <w:rFonts w:ascii="Arial" w:hAnsi="Arial" w:cs="Arial"/>
          <w:bCs/>
          <w:iCs/>
          <w:sz w:val="22"/>
          <w:szCs w:val="22"/>
          <w:u w:val="single"/>
        </w:rPr>
        <w:t>Stanovisko:</w:t>
      </w:r>
    </w:p>
    <w:p w14:paraId="2F3B5505" w14:textId="6184F814" w:rsidR="007735EB" w:rsidRPr="00C43C5B" w:rsidRDefault="007735EB" w:rsidP="007735EB">
      <w:pPr>
        <w:jc w:val="both"/>
        <w:rPr>
          <w:rFonts w:ascii="Arial" w:hAnsi="Arial" w:cs="Arial"/>
          <w:sz w:val="22"/>
          <w:szCs w:val="22"/>
        </w:rPr>
      </w:pPr>
      <w:r w:rsidRPr="00C43C5B">
        <w:rPr>
          <w:rFonts w:ascii="Arial" w:hAnsi="Arial" w:cs="Arial"/>
          <w:sz w:val="22"/>
          <w:szCs w:val="22"/>
        </w:rPr>
        <w:t xml:space="preserve">K problematice předzásobení tabákovými výrobky, tj. k prvnímu odstavci zjištění NKÚ: S účinností od 1. ledna 2007 byla do zákona č. 353/2003 Sb., o spotřebních daních, ve znění pozdějších předpisů, poslaneckým pozměňovacím návrhem prosazena regulace předzásobení se cigaretami se starou sazbou daně ve verzi, se kterou MF nesouhlasilo. Byť prosazený návrh zavedl regulaci na úrovni výrobců a dovozců cigaret (do 15 subjektů), což </w:t>
      </w:r>
      <w:r w:rsidRPr="00C43C5B">
        <w:rPr>
          <w:rFonts w:ascii="Arial" w:hAnsi="Arial" w:cs="Arial"/>
          <w:sz w:val="22"/>
          <w:szCs w:val="22"/>
        </w:rPr>
        <w:lastRenderedPageBreak/>
        <w:t>byl způsob, který MF preferovalo, umožňoval zavedený způsob regulace obcházení nastavených pravidel a stal se tak jen zátěží pro správce daně. V letech 2009 až 2010 byla vedena jednání za účasti zástupců tabákového průmyslu s cílem nevhodně nastavenou regulaci řešit. Byla provedena řada analýz. Nebylo však dosaženo shody ani mezi jednotlivými zástupci tabákového průmyslu ohledně nové úpravy zavedeného systému regulace, a proto rozhodlo Ministerstvo financí ve shodě se správcem daně o zrušení zavedeného systému regulace bez náhrady. Zrušením regulace předzásobení došlo ke zjednodušení zákonné úpravy, což je v souladu s obecnou snahou o co nejjednodušší a</w:t>
      </w:r>
      <w:r w:rsidR="00A838FB">
        <w:rPr>
          <w:rFonts w:ascii="Arial" w:hAnsi="Arial" w:cs="Arial"/>
          <w:sz w:val="22"/>
          <w:szCs w:val="22"/>
        </w:rPr>
        <w:t> </w:t>
      </w:r>
      <w:r w:rsidRPr="00C43C5B">
        <w:rPr>
          <w:rFonts w:ascii="Arial" w:hAnsi="Arial" w:cs="Arial"/>
          <w:sz w:val="22"/>
          <w:szCs w:val="22"/>
        </w:rPr>
        <w:t>transparentní daňové zákony. Došlo ke snížení administrativní zátěže, neboť dotčeným subjektům ubyly povinnosti a současně došlo ke snížení nákladů na straně správce daně. Zrušením regulace byly opět zajištěny rovné podmínky pro všechny komodity a subjekty a</w:t>
      </w:r>
      <w:r w:rsidR="00A838FB">
        <w:rPr>
          <w:rFonts w:ascii="Arial" w:hAnsi="Arial" w:cs="Arial"/>
          <w:sz w:val="22"/>
          <w:szCs w:val="22"/>
        </w:rPr>
        <w:t> </w:t>
      </w:r>
      <w:r w:rsidRPr="00C43C5B">
        <w:rPr>
          <w:rFonts w:ascii="Arial" w:hAnsi="Arial" w:cs="Arial"/>
          <w:sz w:val="22"/>
          <w:szCs w:val="22"/>
        </w:rPr>
        <w:t>vzhledem k tomu, že stát nezasahoval žádným způsobem do dění na trhu, nedocházelo k vytváření překážek konkurenčnímu prostředí.</w:t>
      </w:r>
    </w:p>
    <w:p w14:paraId="12397291" w14:textId="130DD65D" w:rsidR="007735EB" w:rsidRPr="00C43C5B" w:rsidRDefault="007735EB" w:rsidP="007735EB">
      <w:pPr>
        <w:jc w:val="both"/>
        <w:rPr>
          <w:rFonts w:ascii="Arial" w:hAnsi="Arial" w:cs="Arial"/>
          <w:sz w:val="22"/>
          <w:szCs w:val="22"/>
        </w:rPr>
      </w:pPr>
      <w:r w:rsidRPr="00C43C5B">
        <w:rPr>
          <w:rFonts w:ascii="Arial" w:hAnsi="Arial" w:cs="Arial"/>
          <w:sz w:val="22"/>
          <w:szCs w:val="22"/>
        </w:rPr>
        <w:t>Nová úprava prodeje cigaret s tabákovou nálepkou odpovídající staré sazbě daně byla zavedena s účinností od 1. 12. 2014 s tím, že nelze prodávat cigarety se starou sazbou daně po uplynutí stanovené lhůty. Takto nastavené opatření dopadá na subjekty prodávající cigarety, tj. na více jak 40 000 prodejních míst. Vyhodnocení efektivity tohoto opatření bude teprve provedeno. Již nyní však lze konstatovat, že došlo ke zmírnění výkyvů v inkasu spotřební daně z tabákových výrobků. Je však nutné vyhodnotit také náklady na kontrolu dodržování zavedeného opatření (kontrola dodržení pevného data prodeje u</w:t>
      </w:r>
      <w:r w:rsidR="00A838FB">
        <w:rPr>
          <w:rFonts w:ascii="Arial" w:hAnsi="Arial" w:cs="Arial"/>
          <w:sz w:val="22"/>
          <w:szCs w:val="22"/>
        </w:rPr>
        <w:t> </w:t>
      </w:r>
      <w:r w:rsidRPr="00C43C5B">
        <w:rPr>
          <w:rFonts w:ascii="Arial" w:hAnsi="Arial" w:cs="Arial"/>
          <w:sz w:val="22"/>
          <w:szCs w:val="22"/>
        </w:rPr>
        <w:t>velkoobchodníků a maloobchodníků), likvidaci vrácených jednotkových balení a vrácení spotřební daně z</w:t>
      </w:r>
      <w:r w:rsidR="00F0446D">
        <w:rPr>
          <w:rFonts w:ascii="Arial" w:hAnsi="Arial" w:cs="Arial"/>
          <w:sz w:val="22"/>
          <w:szCs w:val="22"/>
        </w:rPr>
        <w:t xml:space="preserve"> </w:t>
      </w:r>
      <w:r w:rsidRPr="00C43C5B">
        <w:rPr>
          <w:rFonts w:ascii="Arial" w:hAnsi="Arial" w:cs="Arial"/>
          <w:sz w:val="22"/>
          <w:szCs w:val="22"/>
        </w:rPr>
        <w:t>vrácených cigaret.</w:t>
      </w:r>
    </w:p>
    <w:p w14:paraId="40ECDEAC" w14:textId="77777777" w:rsidR="007735EB" w:rsidRPr="00C43C5B" w:rsidRDefault="007735EB" w:rsidP="007735EB">
      <w:pPr>
        <w:jc w:val="both"/>
        <w:rPr>
          <w:rFonts w:ascii="Arial" w:hAnsi="Arial" w:cs="Arial"/>
          <w:sz w:val="22"/>
          <w:szCs w:val="22"/>
        </w:rPr>
      </w:pPr>
      <w:r w:rsidRPr="00C43C5B">
        <w:rPr>
          <w:rFonts w:ascii="Arial" w:hAnsi="Arial" w:cs="Arial"/>
          <w:sz w:val="22"/>
          <w:szCs w:val="22"/>
        </w:rPr>
        <w:t>Podle znění zákona č. 353/2003</w:t>
      </w:r>
      <w:r w:rsidR="009040F4">
        <w:rPr>
          <w:rFonts w:ascii="Arial" w:hAnsi="Arial" w:cs="Arial"/>
          <w:sz w:val="22"/>
          <w:szCs w:val="22"/>
        </w:rPr>
        <w:t xml:space="preserve"> Sb.,</w:t>
      </w:r>
      <w:r w:rsidRPr="00C43C5B">
        <w:rPr>
          <w:rFonts w:ascii="Arial" w:hAnsi="Arial" w:cs="Arial"/>
          <w:sz w:val="22"/>
          <w:szCs w:val="22"/>
        </w:rPr>
        <w:t xml:space="preserve"> účinného do 31. 12. 2014 skutečně neměly celní orgány možnost prověřovat údaje o předpokládaném množství uvedeném v návrhu na vydání povolení. Není zřejmé, proč by se měl posuzovat předpokládaný objem pro jednotlivé operace (výroba, skladování, zpracování…) samostatně, když pro výši zajištění daně by toto nemělo žádný vliv. Jedná se tedy pouze o vyjádření určitého názoru NKÚ, který nemá oporu v zákoně. Proto považujeme za správné uvádět v povolení předpokládaný objem jednou hodnotou. Pro úplnost je nutné uv</w:t>
      </w:r>
      <w:r w:rsidR="009040F4">
        <w:rPr>
          <w:rFonts w:ascii="Arial" w:hAnsi="Arial" w:cs="Arial"/>
          <w:sz w:val="22"/>
          <w:szCs w:val="22"/>
        </w:rPr>
        <w:t>ést, že zákonem č. 331/2014 Sb.</w:t>
      </w:r>
      <w:r w:rsidRPr="00C43C5B">
        <w:rPr>
          <w:rFonts w:ascii="Arial" w:hAnsi="Arial" w:cs="Arial"/>
          <w:sz w:val="22"/>
          <w:szCs w:val="22"/>
        </w:rPr>
        <w:t xml:space="preserve"> byl zásadním způsobem novelizován zákon č. 353/2003 Sb., zejména v oblasti povolovacího řízení, které je zcela nově upraveno (s účinností od 1. 1. 2015).</w:t>
      </w:r>
    </w:p>
    <w:p w14:paraId="5A273696" w14:textId="77777777" w:rsidR="007735EB" w:rsidRPr="00C43C5B" w:rsidRDefault="007735EB" w:rsidP="007735EB">
      <w:pPr>
        <w:autoSpaceDE w:val="0"/>
        <w:autoSpaceDN w:val="0"/>
        <w:adjustRightInd w:val="0"/>
        <w:jc w:val="both"/>
        <w:outlineLvl w:val="0"/>
        <w:rPr>
          <w:rFonts w:ascii="Arial" w:hAnsi="Arial" w:cs="Arial"/>
          <w:sz w:val="22"/>
          <w:szCs w:val="22"/>
        </w:rPr>
      </w:pPr>
      <w:r w:rsidRPr="00C43C5B">
        <w:rPr>
          <w:rFonts w:ascii="Arial" w:hAnsi="Arial" w:cs="Arial"/>
          <w:sz w:val="22"/>
          <w:szCs w:val="22"/>
        </w:rPr>
        <w:t>Ke sdělení, že celní úřad dostatečně neprozkoumal vlastnosti tabákových výrobků rozhodné pro zdanění, čímž došlo ke snížení inkasa SPD, je nezbytné uvést, že s problematikou deklarování tabáku ke kouření jako doutníků se Celní správa ČR vzhledem k nejasné právní úpravě potýkala více než 2 roky a tato problematika byla předmětem i několika soudních sporů. S účinností od  1. 5. 2011 byly zavedeny legi</w:t>
      </w:r>
      <w:r w:rsidR="00F0446D">
        <w:rPr>
          <w:rFonts w:ascii="Arial" w:hAnsi="Arial" w:cs="Arial"/>
          <w:sz w:val="22"/>
          <w:szCs w:val="22"/>
        </w:rPr>
        <w:t>slativní úpravy, které se týkaly</w:t>
      </w:r>
      <w:r w:rsidRPr="00C43C5B">
        <w:rPr>
          <w:rFonts w:ascii="Arial" w:hAnsi="Arial" w:cs="Arial"/>
          <w:sz w:val="22"/>
          <w:szCs w:val="22"/>
        </w:rPr>
        <w:t xml:space="preserve"> i definic tabákových výrobků. </w:t>
      </w:r>
    </w:p>
    <w:p w14:paraId="2D660AFC" w14:textId="77777777" w:rsidR="007735EB" w:rsidRPr="00C43C5B" w:rsidRDefault="007735EB" w:rsidP="007735EB">
      <w:pPr>
        <w:autoSpaceDE w:val="0"/>
        <w:autoSpaceDN w:val="0"/>
        <w:adjustRightInd w:val="0"/>
        <w:jc w:val="both"/>
        <w:outlineLvl w:val="0"/>
        <w:rPr>
          <w:rFonts w:ascii="Arial" w:hAnsi="Arial" w:cs="Arial"/>
          <w:sz w:val="22"/>
          <w:szCs w:val="22"/>
        </w:rPr>
      </w:pPr>
      <w:r w:rsidRPr="00C43C5B">
        <w:rPr>
          <w:rFonts w:ascii="Arial" w:hAnsi="Arial" w:cs="Arial"/>
          <w:sz w:val="22"/>
          <w:szCs w:val="22"/>
        </w:rPr>
        <w:t xml:space="preserve">Skutečnost, že celní úřad neodňal povolení, které nebylo jeho držitelem využíváno, nemá fiskální dopad a neznamenalo zvýšené riziko, neboť daň je hrazena již při odběru tabákových nálepek a je tedy dostatečně zajištěna. </w:t>
      </w:r>
    </w:p>
    <w:p w14:paraId="3EC02E01" w14:textId="77777777" w:rsidR="007735EB" w:rsidRPr="009C651E" w:rsidRDefault="007735EB" w:rsidP="007735EB">
      <w:pPr>
        <w:autoSpaceDE w:val="0"/>
        <w:autoSpaceDN w:val="0"/>
        <w:adjustRightInd w:val="0"/>
        <w:jc w:val="both"/>
        <w:outlineLvl w:val="0"/>
        <w:rPr>
          <w:rFonts w:ascii="Arial" w:hAnsi="Arial" w:cs="Arial"/>
          <w:sz w:val="22"/>
          <w:szCs w:val="22"/>
        </w:rPr>
      </w:pPr>
      <w:r w:rsidRPr="00C43C5B">
        <w:rPr>
          <w:rFonts w:ascii="Arial" w:hAnsi="Arial" w:cs="Arial"/>
          <w:sz w:val="22"/>
          <w:szCs w:val="22"/>
        </w:rPr>
        <w:t>Skutečnost, že pověřený celní úřad neporovnával objednané množství tabákových nálepek s povoleními je bez fiskálního dopadu, neboť daň je hrazena již při odběru tabákových nálepek.</w:t>
      </w:r>
    </w:p>
    <w:p w14:paraId="6DB1A8A3" w14:textId="77777777" w:rsidR="009A74E7" w:rsidRDefault="009A74E7" w:rsidP="00C126A0">
      <w:pPr>
        <w:autoSpaceDE w:val="0"/>
        <w:autoSpaceDN w:val="0"/>
        <w:adjustRightInd w:val="0"/>
        <w:jc w:val="both"/>
        <w:outlineLvl w:val="0"/>
        <w:rPr>
          <w:rFonts w:ascii="Arial" w:hAnsi="Arial" w:cs="Arial"/>
          <w:b/>
          <w:noProof/>
          <w:sz w:val="22"/>
          <w:szCs w:val="22"/>
        </w:rPr>
      </w:pPr>
    </w:p>
    <w:p w14:paraId="539F71F8" w14:textId="77777777" w:rsidR="009A74E7" w:rsidRPr="00C91AC8" w:rsidRDefault="009A74E7" w:rsidP="00C126A0">
      <w:pPr>
        <w:autoSpaceDE w:val="0"/>
        <w:autoSpaceDN w:val="0"/>
        <w:adjustRightInd w:val="0"/>
        <w:jc w:val="both"/>
        <w:outlineLvl w:val="0"/>
        <w:rPr>
          <w:rFonts w:ascii="Arial" w:hAnsi="Arial" w:cs="Arial"/>
          <w:b/>
          <w:noProof/>
          <w:sz w:val="22"/>
          <w:szCs w:val="22"/>
        </w:rPr>
      </w:pPr>
    </w:p>
    <w:p w14:paraId="26E42192" w14:textId="77777777" w:rsidR="00C95F82" w:rsidRDefault="00964843" w:rsidP="00C95F82">
      <w:pPr>
        <w:pStyle w:val="Default"/>
        <w:jc w:val="both"/>
        <w:rPr>
          <w:rFonts w:ascii="Arial" w:hAnsi="Arial" w:cs="Arial"/>
          <w:b/>
          <w:bCs/>
          <w:color w:val="auto"/>
          <w:sz w:val="22"/>
          <w:szCs w:val="22"/>
        </w:rPr>
      </w:pPr>
      <w:r>
        <w:rPr>
          <w:rFonts w:ascii="Arial" w:hAnsi="Arial" w:cs="Arial"/>
          <w:b/>
          <w:bCs/>
          <w:color w:val="auto"/>
          <w:sz w:val="22"/>
          <w:szCs w:val="22"/>
        </w:rPr>
        <w:t xml:space="preserve">Bod 3. </w:t>
      </w:r>
      <w:r w:rsidR="00C95F82" w:rsidRPr="00C91AC8">
        <w:rPr>
          <w:rFonts w:ascii="Arial" w:hAnsi="Arial" w:cs="Arial"/>
          <w:b/>
          <w:bCs/>
          <w:color w:val="auto"/>
          <w:sz w:val="22"/>
          <w:szCs w:val="22"/>
        </w:rPr>
        <w:t>Nedostatečný vnitřní kontrolní systém</w:t>
      </w:r>
    </w:p>
    <w:p w14:paraId="18E895CA" w14:textId="77777777" w:rsidR="009A74E7" w:rsidRDefault="009A74E7" w:rsidP="00C95F82">
      <w:pPr>
        <w:pStyle w:val="Default"/>
        <w:jc w:val="both"/>
        <w:rPr>
          <w:rFonts w:ascii="Arial" w:hAnsi="Arial" w:cs="Arial"/>
          <w:i/>
          <w:sz w:val="22"/>
          <w:szCs w:val="22"/>
          <w:u w:val="single"/>
        </w:rPr>
      </w:pPr>
    </w:p>
    <w:p w14:paraId="2DC71F41" w14:textId="77777777" w:rsidR="00C91AC8" w:rsidRPr="00C91AC8" w:rsidRDefault="00C91AC8" w:rsidP="00C95F82">
      <w:pPr>
        <w:pStyle w:val="Default"/>
        <w:jc w:val="both"/>
        <w:rPr>
          <w:rFonts w:ascii="Arial" w:hAnsi="Arial" w:cs="Arial"/>
          <w:b/>
          <w:bCs/>
          <w:color w:val="auto"/>
          <w:sz w:val="22"/>
          <w:szCs w:val="22"/>
        </w:rPr>
      </w:pPr>
      <w:r w:rsidRPr="00EA6CAB">
        <w:rPr>
          <w:rFonts w:ascii="Arial" w:hAnsi="Arial" w:cs="Arial"/>
          <w:i/>
          <w:sz w:val="22"/>
          <w:szCs w:val="22"/>
          <w:u w:val="single"/>
        </w:rPr>
        <w:t>Zjištění NKÚ</w:t>
      </w:r>
      <w:r w:rsidR="008206D4">
        <w:rPr>
          <w:rFonts w:ascii="Arial" w:hAnsi="Arial" w:cs="Arial"/>
          <w:i/>
          <w:sz w:val="22"/>
          <w:szCs w:val="22"/>
          <w:u w:val="single"/>
        </w:rPr>
        <w:t>:</w:t>
      </w:r>
    </w:p>
    <w:p w14:paraId="4B06D548" w14:textId="77777777" w:rsidR="00C95F82" w:rsidRPr="00C91AC8" w:rsidRDefault="00F563C3" w:rsidP="00C95F82">
      <w:pPr>
        <w:pStyle w:val="Default"/>
        <w:jc w:val="both"/>
        <w:rPr>
          <w:rFonts w:ascii="Arial" w:hAnsi="Arial" w:cs="Arial"/>
          <w:i/>
          <w:color w:val="auto"/>
          <w:sz w:val="22"/>
          <w:szCs w:val="22"/>
        </w:rPr>
      </w:pPr>
      <w:r>
        <w:rPr>
          <w:rFonts w:ascii="Arial" w:hAnsi="Arial" w:cs="Arial"/>
          <w:i/>
          <w:color w:val="auto"/>
          <w:sz w:val="22"/>
          <w:szCs w:val="22"/>
        </w:rPr>
        <w:t>„</w:t>
      </w:r>
      <w:r w:rsidR="00C95F82" w:rsidRPr="00C91AC8">
        <w:rPr>
          <w:rFonts w:ascii="Arial" w:hAnsi="Arial" w:cs="Arial"/>
          <w:i/>
          <w:color w:val="auto"/>
          <w:sz w:val="22"/>
          <w:szCs w:val="22"/>
        </w:rPr>
        <w:t xml:space="preserve">Vnitřní kontrolu správy SPD z lihu a tabákových výrobků nevykonávali služební funkcionáři až do roku 2013 dostatečně. </w:t>
      </w:r>
    </w:p>
    <w:p w14:paraId="60310EBC" w14:textId="77777777" w:rsidR="00C95F82" w:rsidRPr="00C91AC8" w:rsidRDefault="00C95F82" w:rsidP="00C95F82">
      <w:pPr>
        <w:pStyle w:val="Default"/>
        <w:jc w:val="both"/>
        <w:rPr>
          <w:rFonts w:ascii="Arial" w:hAnsi="Arial" w:cs="Arial"/>
          <w:i/>
          <w:color w:val="auto"/>
          <w:sz w:val="22"/>
          <w:szCs w:val="22"/>
        </w:rPr>
      </w:pPr>
      <w:r w:rsidRPr="00C91AC8">
        <w:rPr>
          <w:rFonts w:ascii="Arial" w:hAnsi="Arial" w:cs="Arial"/>
          <w:i/>
          <w:color w:val="auto"/>
          <w:sz w:val="22"/>
          <w:szCs w:val="22"/>
        </w:rPr>
        <w:t xml:space="preserve">GŘC nezajistilo dostatečně sběr a vyhodnocování údajů o nedostatcích zjištěných vnitřním kontrolním systémem. Nelze zjistit, co bylo podrobeno řídicí kontrole služebním funkcionářem ani jaká </w:t>
      </w:r>
      <w:proofErr w:type="gramStart"/>
      <w:r w:rsidRPr="00C91AC8">
        <w:rPr>
          <w:rFonts w:ascii="Arial" w:hAnsi="Arial" w:cs="Arial"/>
          <w:i/>
          <w:color w:val="auto"/>
          <w:sz w:val="22"/>
          <w:szCs w:val="22"/>
        </w:rPr>
        <w:t>byla</w:t>
      </w:r>
      <w:proofErr w:type="gramEnd"/>
      <w:r w:rsidRPr="00C91AC8">
        <w:rPr>
          <w:rFonts w:ascii="Arial" w:hAnsi="Arial" w:cs="Arial"/>
          <w:i/>
          <w:color w:val="auto"/>
          <w:sz w:val="22"/>
          <w:szCs w:val="22"/>
        </w:rPr>
        <w:t xml:space="preserve"> závažnost zjištěných nedostatků. </w:t>
      </w:r>
    </w:p>
    <w:p w14:paraId="550F2B7F" w14:textId="77777777" w:rsidR="00C95F82" w:rsidRPr="00C91AC8" w:rsidRDefault="00C95F82" w:rsidP="00C95F82">
      <w:pPr>
        <w:pStyle w:val="Default"/>
        <w:jc w:val="both"/>
        <w:rPr>
          <w:rFonts w:ascii="Arial" w:hAnsi="Arial" w:cs="Arial"/>
          <w:i/>
          <w:color w:val="auto"/>
          <w:sz w:val="22"/>
          <w:szCs w:val="22"/>
        </w:rPr>
      </w:pPr>
      <w:r w:rsidRPr="00C91AC8">
        <w:rPr>
          <w:rFonts w:ascii="Arial" w:hAnsi="Arial" w:cs="Arial"/>
          <w:i/>
          <w:color w:val="auto"/>
          <w:sz w:val="22"/>
          <w:szCs w:val="22"/>
        </w:rPr>
        <w:lastRenderedPageBreak/>
        <w:t xml:space="preserve">GŘC nepřijímalo v některých případech opatření k nápravě zjištěných nedostatků, nesledovalo důsledně plnění nápravných opatření (případně to neprokázalo) a nezajistilo informovanost všech CÚ o zjištěných nedostatcích. </w:t>
      </w:r>
    </w:p>
    <w:p w14:paraId="420481E0" w14:textId="77777777" w:rsidR="00C95F82" w:rsidRPr="00C91AC8" w:rsidRDefault="00C95F82" w:rsidP="00C95F82">
      <w:pPr>
        <w:pStyle w:val="Default"/>
        <w:jc w:val="both"/>
        <w:rPr>
          <w:rFonts w:ascii="Arial" w:hAnsi="Arial" w:cs="Arial"/>
          <w:i/>
          <w:color w:val="auto"/>
          <w:sz w:val="22"/>
          <w:szCs w:val="22"/>
        </w:rPr>
      </w:pPr>
      <w:r w:rsidRPr="00C91AC8">
        <w:rPr>
          <w:rFonts w:ascii="Arial" w:hAnsi="Arial" w:cs="Arial"/>
          <w:i/>
          <w:color w:val="auto"/>
          <w:sz w:val="22"/>
          <w:szCs w:val="22"/>
        </w:rPr>
        <w:t xml:space="preserve">Přestože GŘC mělo sestavenu mapu rizik minimálně od roku 2009, v rámci výkonu vnitřní kontroly se projevila až od roku 2014. </w:t>
      </w:r>
    </w:p>
    <w:p w14:paraId="41F746F1" w14:textId="77777777" w:rsidR="00C95F82" w:rsidRPr="00C91AC8" w:rsidRDefault="00C95F82" w:rsidP="00C95F82">
      <w:pPr>
        <w:pStyle w:val="Default"/>
        <w:jc w:val="both"/>
        <w:rPr>
          <w:rFonts w:ascii="Arial" w:hAnsi="Arial" w:cs="Arial"/>
          <w:i/>
          <w:color w:val="auto"/>
          <w:sz w:val="22"/>
          <w:szCs w:val="22"/>
        </w:rPr>
      </w:pPr>
      <w:r w:rsidRPr="00C91AC8">
        <w:rPr>
          <w:rFonts w:ascii="Arial" w:hAnsi="Arial" w:cs="Arial"/>
          <w:i/>
          <w:color w:val="auto"/>
          <w:sz w:val="22"/>
          <w:szCs w:val="22"/>
        </w:rPr>
        <w:t>GŘC nezajistilo dostatečným způsobem výkon vnitřní kontroly ani u tak vysoce rizikové oblasti, jakou je denaturace a doprava lihu, a nemohlo tak identifikovat zásadní systémový nedostatek související s plombováním nádob při dopravě lihu v souvislosti s jeho denaturací. Výkon tematických a operativních kontrol prováděných odborným útvarem u podřízených celních orgánů byl omezen na dokladovou kontrolu, která neumožňovala zjistit rozhodné skutečnosti. Vnitřní kontrolní systém nezachytil u CÚ pro Olomoucký kraj a CÚ pro Zlínský kraj významná pochybení při kontrole denaturace lihu.</w:t>
      </w:r>
    </w:p>
    <w:p w14:paraId="466959DA" w14:textId="77777777" w:rsidR="00C95F82" w:rsidRPr="00C91AC8" w:rsidRDefault="00C95F82" w:rsidP="00C95F82">
      <w:pPr>
        <w:pStyle w:val="Default"/>
        <w:jc w:val="both"/>
        <w:rPr>
          <w:rFonts w:ascii="Arial" w:hAnsi="Arial" w:cs="Arial"/>
          <w:i/>
          <w:color w:val="auto"/>
          <w:sz w:val="22"/>
          <w:szCs w:val="22"/>
        </w:rPr>
      </w:pPr>
      <w:r w:rsidRPr="00C91AC8">
        <w:rPr>
          <w:rFonts w:ascii="Arial" w:hAnsi="Arial" w:cs="Arial"/>
          <w:i/>
          <w:color w:val="auto"/>
          <w:sz w:val="22"/>
          <w:szCs w:val="22"/>
        </w:rPr>
        <w:t xml:space="preserve">GŘC nekontrolovalo a nezajistilo rotaci a přemísťování pracovníků s vysokou příležitostí ke korupci, kterou správa SPD je, a nenaplnilo tak zcela </w:t>
      </w:r>
      <w:proofErr w:type="spellStart"/>
      <w:r w:rsidRPr="00C91AC8">
        <w:rPr>
          <w:rFonts w:ascii="Arial" w:hAnsi="Arial" w:cs="Arial"/>
          <w:i/>
          <w:iCs/>
          <w:color w:val="auto"/>
          <w:sz w:val="22"/>
          <w:szCs w:val="22"/>
        </w:rPr>
        <w:t>Arushskou</w:t>
      </w:r>
      <w:proofErr w:type="spellEnd"/>
      <w:r w:rsidRPr="00C91AC8">
        <w:rPr>
          <w:rFonts w:ascii="Arial" w:hAnsi="Arial" w:cs="Arial"/>
          <w:i/>
          <w:iCs/>
          <w:color w:val="auto"/>
          <w:sz w:val="22"/>
          <w:szCs w:val="22"/>
        </w:rPr>
        <w:t xml:space="preserve"> dohodu</w:t>
      </w:r>
      <w:r w:rsidRPr="00C91AC8">
        <w:rPr>
          <w:rFonts w:ascii="Arial" w:hAnsi="Arial" w:cs="Arial"/>
          <w:i/>
          <w:color w:val="auto"/>
          <w:sz w:val="22"/>
          <w:szCs w:val="22"/>
        </w:rPr>
        <w:t>, jejímž cílem je prevence korupce a boj proti ní v celních službách. GŘC k tomuto kroku nepřistoupilo plošně, přestože korupční riziko při kontrolní činnosti při správě SPD z lihu samo vyhodnotilo v mapách rizik jako významné a pravděpodobné již v roce 2009. NKÚ zjistil, že u CÚ docházelo k nedostatečné rotaci i u vysoce rizikových daňových subjektů a činností, např. u</w:t>
      </w:r>
      <w:r w:rsidR="00764F51">
        <w:rPr>
          <w:rFonts w:ascii="Arial" w:hAnsi="Arial" w:cs="Arial"/>
          <w:i/>
          <w:color w:val="auto"/>
          <w:sz w:val="22"/>
          <w:szCs w:val="22"/>
        </w:rPr>
        <w:t> </w:t>
      </w:r>
      <w:r w:rsidRPr="00C91AC8">
        <w:rPr>
          <w:rFonts w:ascii="Arial" w:hAnsi="Arial" w:cs="Arial"/>
          <w:i/>
          <w:color w:val="auto"/>
          <w:sz w:val="22"/>
          <w:szCs w:val="22"/>
        </w:rPr>
        <w:t xml:space="preserve">denaturace lihu či kontrolní činnosti. V případě kontroly denaturace lihu byl od roku 2014 tento nedostatek odstraněn. </w:t>
      </w:r>
    </w:p>
    <w:p w14:paraId="52A8D2EA" w14:textId="77777777" w:rsidR="00C95F82" w:rsidRDefault="00C95F82" w:rsidP="00C95F82">
      <w:pPr>
        <w:pStyle w:val="Default"/>
        <w:jc w:val="both"/>
        <w:rPr>
          <w:rFonts w:ascii="Arial" w:hAnsi="Arial" w:cs="Arial"/>
          <w:i/>
          <w:color w:val="auto"/>
          <w:sz w:val="22"/>
          <w:szCs w:val="22"/>
        </w:rPr>
      </w:pPr>
      <w:r w:rsidRPr="00C91AC8">
        <w:rPr>
          <w:rFonts w:ascii="Arial" w:hAnsi="Arial" w:cs="Arial"/>
          <w:i/>
          <w:color w:val="auto"/>
          <w:sz w:val="22"/>
          <w:szCs w:val="22"/>
        </w:rPr>
        <w:t>Interní audit prověřil oblast SPD od roku 2004 třikrát, avšak problematiku nakládání s</w:t>
      </w:r>
      <w:r w:rsidR="00764F51">
        <w:rPr>
          <w:rFonts w:ascii="Arial" w:hAnsi="Arial" w:cs="Arial"/>
          <w:i/>
          <w:color w:val="auto"/>
          <w:sz w:val="22"/>
          <w:szCs w:val="22"/>
        </w:rPr>
        <w:t> </w:t>
      </w:r>
      <w:r w:rsidRPr="00C91AC8">
        <w:rPr>
          <w:rFonts w:ascii="Arial" w:hAnsi="Arial" w:cs="Arial"/>
          <w:i/>
          <w:color w:val="auto"/>
          <w:sz w:val="22"/>
          <w:szCs w:val="22"/>
        </w:rPr>
        <w:t>kontrolními páskami ověřil až v roce 2014 a nakládání s tabákovými nálepkami neověřil vůbec.</w:t>
      </w:r>
      <w:r w:rsidR="00F563C3">
        <w:rPr>
          <w:rFonts w:ascii="Arial" w:hAnsi="Arial" w:cs="Arial"/>
          <w:i/>
          <w:color w:val="auto"/>
          <w:sz w:val="22"/>
          <w:szCs w:val="22"/>
        </w:rPr>
        <w:t>“</w:t>
      </w:r>
    </w:p>
    <w:p w14:paraId="31B0493B" w14:textId="77777777" w:rsidR="00F563C3" w:rsidRPr="00C91AC8" w:rsidRDefault="00F563C3" w:rsidP="00C95F82">
      <w:pPr>
        <w:pStyle w:val="Default"/>
        <w:jc w:val="both"/>
        <w:rPr>
          <w:rFonts w:ascii="Arial" w:hAnsi="Arial" w:cs="Arial"/>
          <w:i/>
          <w:color w:val="auto"/>
          <w:sz w:val="22"/>
          <w:szCs w:val="22"/>
        </w:rPr>
      </w:pPr>
    </w:p>
    <w:p w14:paraId="52F61754" w14:textId="77777777" w:rsidR="00C95F82" w:rsidRPr="00C91AC8" w:rsidRDefault="00C31367" w:rsidP="00C126A0">
      <w:pPr>
        <w:autoSpaceDE w:val="0"/>
        <w:autoSpaceDN w:val="0"/>
        <w:adjustRightInd w:val="0"/>
        <w:jc w:val="both"/>
        <w:outlineLvl w:val="0"/>
        <w:rPr>
          <w:rFonts w:ascii="Arial" w:hAnsi="Arial" w:cs="Arial"/>
          <w:b/>
          <w:i/>
          <w:noProof/>
          <w:sz w:val="22"/>
          <w:szCs w:val="22"/>
        </w:rPr>
      </w:pPr>
      <w:r w:rsidRPr="00964843">
        <w:rPr>
          <w:rFonts w:ascii="Arial" w:hAnsi="Arial" w:cs="Arial"/>
          <w:bCs/>
          <w:iCs/>
          <w:sz w:val="22"/>
          <w:szCs w:val="22"/>
          <w:u w:val="single"/>
        </w:rPr>
        <w:t>Stanovisko:</w:t>
      </w:r>
    </w:p>
    <w:p w14:paraId="45E9C283" w14:textId="77777777" w:rsidR="00C51DC2" w:rsidRDefault="00C31367" w:rsidP="00C31367">
      <w:pPr>
        <w:jc w:val="both"/>
        <w:rPr>
          <w:rFonts w:ascii="Arial" w:hAnsi="Arial" w:cs="Arial"/>
          <w:sz w:val="22"/>
          <w:szCs w:val="22"/>
        </w:rPr>
      </w:pPr>
      <w:r w:rsidRPr="00F563C3">
        <w:rPr>
          <w:rFonts w:ascii="Arial" w:hAnsi="Arial" w:cs="Arial"/>
          <w:sz w:val="22"/>
          <w:szCs w:val="22"/>
        </w:rPr>
        <w:t xml:space="preserve">Na základě nedostatečného sběru dat, zejména z kontrol provedených služebními funkcionáři celních úřadů, nebylo možné konkrétně vyhodnocovat zjištěné nedostatky z kontrol. V souvislosti s účinností nového služebního předpisu č. 2/2014 „Provádění vnitřní kontrolní činnosti v Celní správě České republiky“ v roce 2014 byl nově nastaven systém provádění vnitřní kontrolní činnosti, jež je jedním z prvků vnitřního řídícího a kontrolního systému. Díky novému přístupu k dokumentování a evidování průběhu a výsledků kontrolní činnosti, kdy je vše prakticky online, má dnes CS pravděpodobně nejpropracovanější kontrolní systém, nejenom rámci rezortních organizací a bezpečnostních sborů, který zajišťuje jednotný a ucelený proces kontrol v CS. Tento systém v nejširší možné míře zabraňuje zkreslování údajů o kontrolních aktivitách jednotlivých vedoucích a služebních funkcionářů a vedení CS poskytuje ucelený obraz o aktivitách v kontrolní oblasti. </w:t>
      </w:r>
    </w:p>
    <w:p w14:paraId="33D802FE" w14:textId="77777777" w:rsidR="00C31367" w:rsidRPr="00F563C3" w:rsidRDefault="00C31367" w:rsidP="00C31367">
      <w:pPr>
        <w:jc w:val="both"/>
        <w:rPr>
          <w:rFonts w:ascii="Arial" w:hAnsi="Arial" w:cs="Arial"/>
          <w:sz w:val="22"/>
          <w:szCs w:val="22"/>
        </w:rPr>
      </w:pPr>
      <w:r w:rsidRPr="00F563C3">
        <w:rPr>
          <w:rFonts w:ascii="Arial" w:hAnsi="Arial" w:cs="Arial"/>
          <w:sz w:val="22"/>
          <w:szCs w:val="22"/>
        </w:rPr>
        <w:t xml:space="preserve">Vnitřní kontrolní činnost od roku 2014: </w:t>
      </w:r>
    </w:p>
    <w:p w14:paraId="00F7973B" w14:textId="77777777" w:rsidR="00C31367" w:rsidRPr="00F563C3" w:rsidRDefault="00C31367" w:rsidP="00C31367">
      <w:pPr>
        <w:jc w:val="both"/>
        <w:rPr>
          <w:rFonts w:ascii="Arial" w:hAnsi="Arial" w:cs="Arial"/>
          <w:sz w:val="22"/>
          <w:szCs w:val="22"/>
        </w:rPr>
      </w:pPr>
      <w:r w:rsidRPr="00F563C3">
        <w:rPr>
          <w:rFonts w:ascii="Arial" w:hAnsi="Arial" w:cs="Arial"/>
          <w:sz w:val="22"/>
          <w:szCs w:val="22"/>
        </w:rPr>
        <w:t xml:space="preserve">1) postihuje kontrolu z hlediska účelnosti, efektivity a hospodárnosti činností Celní správy ČR, </w:t>
      </w:r>
    </w:p>
    <w:p w14:paraId="35715474" w14:textId="77777777" w:rsidR="00C31367" w:rsidRPr="00F563C3" w:rsidRDefault="00C31367" w:rsidP="00C31367">
      <w:pPr>
        <w:jc w:val="both"/>
        <w:rPr>
          <w:rFonts w:ascii="Arial" w:hAnsi="Arial" w:cs="Arial"/>
          <w:sz w:val="22"/>
          <w:szCs w:val="22"/>
        </w:rPr>
      </w:pPr>
      <w:r w:rsidRPr="00F563C3">
        <w:rPr>
          <w:rFonts w:ascii="Arial" w:hAnsi="Arial" w:cs="Arial"/>
          <w:sz w:val="22"/>
          <w:szCs w:val="22"/>
        </w:rPr>
        <w:t>2) konkrétně upravuje průběh kontroly, kterou provádějí služební funkcionáři, a způsob stanovení závažnosti zjištěných nedostatků a povinnost přijetí opatření k výsledkům kontroly,</w:t>
      </w:r>
    </w:p>
    <w:p w14:paraId="57C1AB73" w14:textId="77777777" w:rsidR="00C31367" w:rsidRPr="00F563C3" w:rsidRDefault="00C31367" w:rsidP="00C31367">
      <w:pPr>
        <w:jc w:val="both"/>
        <w:rPr>
          <w:rFonts w:ascii="Arial" w:hAnsi="Arial" w:cs="Arial"/>
          <w:sz w:val="22"/>
          <w:szCs w:val="22"/>
        </w:rPr>
      </w:pPr>
      <w:r w:rsidRPr="00F563C3">
        <w:rPr>
          <w:rFonts w:ascii="Arial" w:hAnsi="Arial" w:cs="Arial"/>
          <w:sz w:val="22"/>
          <w:szCs w:val="22"/>
        </w:rPr>
        <w:t xml:space="preserve">3) prostřednictvím sdílených elektronických formulářů zajišťuje sběr a centralizaci dat z provedených kontrol, </w:t>
      </w:r>
    </w:p>
    <w:p w14:paraId="3BDB40C1" w14:textId="77777777" w:rsidR="00C51DC2" w:rsidRDefault="00C31367" w:rsidP="00C31367">
      <w:pPr>
        <w:jc w:val="both"/>
        <w:rPr>
          <w:rFonts w:ascii="Arial" w:hAnsi="Arial" w:cs="Arial"/>
          <w:sz w:val="22"/>
          <w:szCs w:val="22"/>
        </w:rPr>
      </w:pPr>
      <w:r w:rsidRPr="00F563C3">
        <w:rPr>
          <w:rFonts w:ascii="Arial" w:hAnsi="Arial" w:cs="Arial"/>
          <w:sz w:val="22"/>
          <w:szCs w:val="22"/>
        </w:rPr>
        <w:t>4) služebním funkcionářům umožňuje disponovat aktuálními informacemi o probíhajících a</w:t>
      </w:r>
      <w:r w:rsidR="00C51DC2">
        <w:rPr>
          <w:rFonts w:ascii="Arial" w:hAnsi="Arial" w:cs="Arial"/>
          <w:sz w:val="22"/>
          <w:szCs w:val="22"/>
        </w:rPr>
        <w:t> </w:t>
      </w:r>
      <w:r w:rsidRPr="00F563C3">
        <w:rPr>
          <w:rFonts w:ascii="Arial" w:hAnsi="Arial" w:cs="Arial"/>
          <w:sz w:val="22"/>
          <w:szCs w:val="22"/>
        </w:rPr>
        <w:t xml:space="preserve">provedených kontrolách v rámci jejich řídící působnosti a prostřednictvím SO 050 také vlastníkům procesů, mj. informacemi o kvantitě a kvalitě provedených kontrol, </w:t>
      </w:r>
    </w:p>
    <w:p w14:paraId="65500E1E" w14:textId="77777777" w:rsidR="00C51DC2" w:rsidRDefault="00C31367" w:rsidP="00C31367">
      <w:pPr>
        <w:jc w:val="both"/>
        <w:rPr>
          <w:rFonts w:ascii="Arial" w:hAnsi="Arial" w:cs="Arial"/>
          <w:sz w:val="22"/>
          <w:szCs w:val="22"/>
        </w:rPr>
      </w:pPr>
      <w:r w:rsidRPr="00F563C3">
        <w:rPr>
          <w:rFonts w:ascii="Arial" w:hAnsi="Arial" w:cs="Arial"/>
          <w:sz w:val="22"/>
          <w:szCs w:val="22"/>
        </w:rPr>
        <w:t xml:space="preserve">5) zajišťuje zapracování konkrétních zjištění z výsledků kontrol do vyhodnocení kontrolní činnosti, </w:t>
      </w:r>
    </w:p>
    <w:p w14:paraId="4B3A8537" w14:textId="77777777" w:rsidR="00C31367" w:rsidRPr="00F563C3" w:rsidRDefault="00C31367" w:rsidP="00C31367">
      <w:pPr>
        <w:jc w:val="both"/>
        <w:rPr>
          <w:rFonts w:ascii="Arial" w:hAnsi="Arial" w:cs="Arial"/>
          <w:sz w:val="22"/>
          <w:szCs w:val="22"/>
        </w:rPr>
      </w:pPr>
      <w:r w:rsidRPr="00F563C3">
        <w:rPr>
          <w:rFonts w:ascii="Arial" w:hAnsi="Arial" w:cs="Arial"/>
          <w:sz w:val="22"/>
          <w:szCs w:val="22"/>
        </w:rPr>
        <w:t>6) zajišťuje plánování kontrolní činnosti neprodleně po vyhodnocení kontrolní činnosti a</w:t>
      </w:r>
      <w:r w:rsidR="00C51DC2">
        <w:rPr>
          <w:rFonts w:ascii="Arial" w:hAnsi="Arial" w:cs="Arial"/>
          <w:sz w:val="22"/>
          <w:szCs w:val="22"/>
        </w:rPr>
        <w:t> </w:t>
      </w:r>
      <w:r w:rsidRPr="00F563C3">
        <w:rPr>
          <w:rFonts w:ascii="Arial" w:hAnsi="Arial" w:cs="Arial"/>
          <w:sz w:val="22"/>
          <w:szCs w:val="22"/>
        </w:rPr>
        <w:t xml:space="preserve">zpracovaných analýz. </w:t>
      </w:r>
    </w:p>
    <w:p w14:paraId="1F157389" w14:textId="77777777" w:rsidR="00C31367" w:rsidRPr="00F563C3" w:rsidRDefault="00C31367" w:rsidP="00C31367">
      <w:pPr>
        <w:jc w:val="both"/>
        <w:rPr>
          <w:rFonts w:ascii="Arial" w:hAnsi="Arial" w:cs="Arial"/>
          <w:sz w:val="22"/>
          <w:szCs w:val="22"/>
        </w:rPr>
      </w:pPr>
      <w:r w:rsidRPr="00F563C3">
        <w:rPr>
          <w:rFonts w:ascii="Arial" w:hAnsi="Arial" w:cs="Arial"/>
          <w:sz w:val="22"/>
          <w:szCs w:val="22"/>
        </w:rPr>
        <w:t>Rotace a přemísťování pracovníků je procesem řízení lidských zdrojů. Na základě návrhu odboru 23 byl generálním ředitelem GŘC schválen rozkaz č. 30/2014 „Personální zajištění kontrolní činnosti celních úřadů prováděné v souvislosti s denaturacemi lihu“, kterým byla mj. přijata opatření zajišťující rotaci pracovníků.</w:t>
      </w:r>
    </w:p>
    <w:p w14:paraId="14FE1F78" w14:textId="77777777" w:rsidR="00C31367" w:rsidRPr="00F563C3" w:rsidRDefault="00C31367" w:rsidP="00C31367">
      <w:pPr>
        <w:jc w:val="both"/>
        <w:rPr>
          <w:rFonts w:ascii="Arial" w:hAnsi="Arial" w:cs="Arial"/>
          <w:color w:val="000000"/>
          <w:sz w:val="22"/>
          <w:szCs w:val="22"/>
        </w:rPr>
      </w:pPr>
      <w:r w:rsidRPr="00F563C3">
        <w:rPr>
          <w:rFonts w:ascii="Arial" w:hAnsi="Arial" w:cs="Arial"/>
          <w:color w:val="000000"/>
          <w:sz w:val="22"/>
          <w:szCs w:val="22"/>
        </w:rPr>
        <w:lastRenderedPageBreak/>
        <w:t>V této souvislosti považujeme za nutné uvést, že výkon interního auditu v celní správě je třeba posuzovat v kontextu s rozsahem pravomocí a činností orgánů celní správy a</w:t>
      </w:r>
      <w:r w:rsidR="00B1543A">
        <w:rPr>
          <w:rFonts w:ascii="Arial" w:hAnsi="Arial" w:cs="Arial"/>
          <w:color w:val="000000"/>
          <w:sz w:val="22"/>
          <w:szCs w:val="22"/>
        </w:rPr>
        <w:t> </w:t>
      </w:r>
      <w:r w:rsidRPr="00F563C3">
        <w:rPr>
          <w:rFonts w:ascii="Arial" w:hAnsi="Arial" w:cs="Arial"/>
          <w:color w:val="000000"/>
          <w:sz w:val="22"/>
          <w:szCs w:val="22"/>
        </w:rPr>
        <w:t xml:space="preserve">omezenými personálními zdroji útvaru Interního auditu GŘC. Interní audit tedy nemůže být z hlediska rozsahu, zaměření a četnosti ověřovací činnosti srovnatelný s ostatními složkami vnitřního kontrolního systému. Interní audit musí zaměřit svou pozornost na rizikové oblasti všech kompetencí, ale také na povinné audity vyplývající z  uložených úkolů a z požadavků EU. Přesto v uvedeném období útvar Interního auditu provedl 3 audity zaměřené na oblast SPD. </w:t>
      </w:r>
    </w:p>
    <w:p w14:paraId="740A0A1E" w14:textId="77777777" w:rsidR="00C31367" w:rsidRPr="00F563C3" w:rsidRDefault="00C31367" w:rsidP="00C31367">
      <w:pPr>
        <w:jc w:val="both"/>
        <w:rPr>
          <w:rFonts w:ascii="Arial" w:hAnsi="Arial" w:cs="Arial"/>
          <w:color w:val="000000"/>
          <w:sz w:val="22"/>
          <w:szCs w:val="22"/>
        </w:rPr>
      </w:pPr>
      <w:r w:rsidRPr="00F563C3">
        <w:rPr>
          <w:rFonts w:ascii="Arial" w:hAnsi="Arial" w:cs="Arial"/>
          <w:color w:val="000000"/>
          <w:sz w:val="22"/>
          <w:szCs w:val="22"/>
        </w:rPr>
        <w:t>Ke skutečnosti, že auditem byla prověřována pouze problematika správy kontrolních pásek určených ke značení lihu, uvádíme, že v rámci plánování byla tato oblast vyhodnocena jako rizikovější mimo jiné i z toho důvodu, že tabákové nálepky jsou přímo zatíženy SPD a</w:t>
      </w:r>
      <w:r w:rsidR="00B1543A">
        <w:rPr>
          <w:rFonts w:ascii="Arial" w:hAnsi="Arial" w:cs="Arial"/>
          <w:color w:val="000000"/>
          <w:sz w:val="22"/>
          <w:szCs w:val="22"/>
        </w:rPr>
        <w:t> </w:t>
      </w:r>
      <w:r w:rsidRPr="00F563C3">
        <w:rPr>
          <w:rFonts w:ascii="Arial" w:hAnsi="Arial" w:cs="Arial"/>
          <w:color w:val="000000"/>
          <w:sz w:val="22"/>
          <w:szCs w:val="22"/>
        </w:rPr>
        <w:t>povinnost uhradit hodnotu tabákové nálepky vzniká již odběrem těchto nálepek.</w:t>
      </w:r>
    </w:p>
    <w:p w14:paraId="403324B3" w14:textId="77777777" w:rsidR="00C95F82" w:rsidRDefault="00C31367" w:rsidP="00C31367">
      <w:pPr>
        <w:autoSpaceDE w:val="0"/>
        <w:autoSpaceDN w:val="0"/>
        <w:adjustRightInd w:val="0"/>
        <w:jc w:val="both"/>
        <w:outlineLvl w:val="0"/>
        <w:rPr>
          <w:rFonts w:ascii="Arial" w:hAnsi="Arial" w:cs="Arial"/>
          <w:color w:val="000000"/>
          <w:sz w:val="22"/>
          <w:szCs w:val="22"/>
        </w:rPr>
      </w:pPr>
      <w:r w:rsidRPr="00F563C3">
        <w:rPr>
          <w:rFonts w:ascii="Arial" w:hAnsi="Arial" w:cs="Arial"/>
          <w:color w:val="000000"/>
          <w:sz w:val="22"/>
          <w:szCs w:val="22"/>
        </w:rPr>
        <w:t>Plánování činností útvaru je založeno mimo jiné i na vyhodnocení rizik. Útvar Interního auditu v minulosti plánoval činnosti na základě provedení vlastního sběru identifikovaných rizik a</w:t>
      </w:r>
      <w:r w:rsidR="00B1543A">
        <w:rPr>
          <w:rFonts w:ascii="Arial" w:hAnsi="Arial" w:cs="Arial"/>
          <w:color w:val="000000"/>
          <w:sz w:val="22"/>
          <w:szCs w:val="22"/>
        </w:rPr>
        <w:t> </w:t>
      </w:r>
      <w:r w:rsidRPr="00F563C3">
        <w:rPr>
          <w:rFonts w:ascii="Arial" w:hAnsi="Arial" w:cs="Arial"/>
          <w:color w:val="000000"/>
          <w:sz w:val="22"/>
          <w:szCs w:val="22"/>
        </w:rPr>
        <w:t>upozorňoval na chybějící komplexní sy</w:t>
      </w:r>
      <w:r w:rsidR="00C51DC2">
        <w:rPr>
          <w:rFonts w:ascii="Arial" w:hAnsi="Arial" w:cs="Arial"/>
          <w:color w:val="000000"/>
          <w:sz w:val="22"/>
          <w:szCs w:val="22"/>
        </w:rPr>
        <w:t>s</w:t>
      </w:r>
      <w:r w:rsidRPr="00F563C3">
        <w:rPr>
          <w:rFonts w:ascii="Arial" w:hAnsi="Arial" w:cs="Arial"/>
          <w:color w:val="000000"/>
          <w:sz w:val="22"/>
          <w:szCs w:val="22"/>
        </w:rPr>
        <w:t>tém řízení rizik celní správy. Ke komplexnímu zajištění řízení rizik tak dojde dle ujištění vlastníka procesu do konce roku 2015 a interní audit bude z výsledků hodnocení rizik vycházet v rámci plánování činností již na rok 2016.</w:t>
      </w:r>
    </w:p>
    <w:p w14:paraId="0513ADFD" w14:textId="77777777" w:rsidR="005F7D7B" w:rsidRPr="00F563C3" w:rsidRDefault="005F7D7B" w:rsidP="005F7D7B">
      <w:pPr>
        <w:pStyle w:val="Odstavecseseznamem"/>
        <w:ind w:left="0"/>
        <w:jc w:val="both"/>
        <w:rPr>
          <w:rFonts w:ascii="Arial" w:hAnsi="Arial" w:cs="Arial"/>
          <w:sz w:val="22"/>
          <w:szCs w:val="22"/>
        </w:rPr>
      </w:pPr>
      <w:r w:rsidRPr="00F563C3">
        <w:rPr>
          <w:rFonts w:ascii="Arial" w:hAnsi="Arial" w:cs="Arial"/>
          <w:sz w:val="22"/>
          <w:szCs w:val="22"/>
        </w:rPr>
        <w:t>Za účelem zvýšení efektivity vnitřní kontrolní činnosti v CS, poskytnutí zpětné vazby služebním funkcionářům o provádění vnitřní kontrolní činnosti v CS a na základě plnění navržených doporučení uvedených v materiálu „Vyhodnocení kontrolní a inspekční činnosti v</w:t>
      </w:r>
      <w:r>
        <w:rPr>
          <w:rFonts w:ascii="Arial" w:hAnsi="Arial" w:cs="Arial"/>
          <w:sz w:val="22"/>
          <w:szCs w:val="22"/>
        </w:rPr>
        <w:t> </w:t>
      </w:r>
      <w:r w:rsidRPr="00F563C3">
        <w:rPr>
          <w:rFonts w:ascii="Arial" w:hAnsi="Arial" w:cs="Arial"/>
          <w:sz w:val="22"/>
          <w:szCs w:val="22"/>
        </w:rPr>
        <w:t>Celní správě České republiky za rok 2014“ bylo SO 050 operativně zpracováno „Vyhodnocení vnitřní kontrolní činnosti v Celní správě ČR za 1. pololetí 2015“. V materiálu byly uvedeny konkrétní nedostatky zjištěné z kontrol v oblasti správy daní, mj. v oblasti denaturace lihu a dopravy vybraných výrobků. Odborným útvarům GŘC a služebním funkcionářům na obou stupních řízení bylo opakovaně doporučeno, aby k výsledkům kontrolních zjištění přijímali adekvátní opatření k odstranění nebo prevenci nedostatků a tato opatření důsledně dodržovali.</w:t>
      </w:r>
    </w:p>
    <w:p w14:paraId="5F0676E9" w14:textId="77777777" w:rsidR="00F563C3" w:rsidRPr="00F563C3" w:rsidRDefault="005F7D7B" w:rsidP="005F7D7B">
      <w:pPr>
        <w:autoSpaceDE w:val="0"/>
        <w:autoSpaceDN w:val="0"/>
        <w:adjustRightInd w:val="0"/>
        <w:jc w:val="both"/>
        <w:outlineLvl w:val="0"/>
        <w:rPr>
          <w:rFonts w:ascii="Arial" w:hAnsi="Arial" w:cs="Arial"/>
          <w:b/>
          <w:noProof/>
          <w:sz w:val="22"/>
          <w:szCs w:val="22"/>
        </w:rPr>
      </w:pPr>
      <w:r w:rsidRPr="00F563C3">
        <w:rPr>
          <w:rFonts w:ascii="Arial" w:hAnsi="Arial" w:cs="Arial"/>
          <w:sz w:val="22"/>
          <w:szCs w:val="22"/>
        </w:rPr>
        <w:t>SO 050 zvýšilo kontrolní činnost na plnění nápravných opatření vyplývajících z předchozích kontrol.</w:t>
      </w:r>
    </w:p>
    <w:p w14:paraId="160CA4BC" w14:textId="77777777" w:rsidR="005F7D7B" w:rsidRPr="00F563C3" w:rsidRDefault="005F7D7B" w:rsidP="005F7D7B">
      <w:pPr>
        <w:jc w:val="both"/>
        <w:rPr>
          <w:rFonts w:ascii="Arial" w:hAnsi="Arial" w:cs="Arial"/>
          <w:sz w:val="22"/>
          <w:szCs w:val="22"/>
        </w:rPr>
      </w:pPr>
      <w:r w:rsidRPr="00F563C3">
        <w:rPr>
          <w:rFonts w:ascii="Arial" w:hAnsi="Arial" w:cs="Arial"/>
          <w:sz w:val="22"/>
          <w:szCs w:val="22"/>
        </w:rPr>
        <w:t>S účinností od 1. 7. 2014 bylo do Organizačního řádu CS zapracováno provádění vnitřního řídícího a kontrolního systému, vydán rozkaz č. 36/2014 „Řízení operativních rizik při správě daní orgány Celní správy České republiky a realizace Dohody o spolupráci, výměně informací a koordinaci“ a služební předpis č. 21/2015 „Management rizik v Celní správě České republiky“.</w:t>
      </w:r>
    </w:p>
    <w:p w14:paraId="7E187CD6" w14:textId="77777777" w:rsidR="002C1611" w:rsidRDefault="002C1611" w:rsidP="00C31367">
      <w:pPr>
        <w:autoSpaceDE w:val="0"/>
        <w:autoSpaceDN w:val="0"/>
        <w:adjustRightInd w:val="0"/>
        <w:jc w:val="both"/>
        <w:rPr>
          <w:rFonts w:ascii="Arial" w:hAnsi="Arial" w:cs="Arial"/>
          <w:sz w:val="22"/>
          <w:szCs w:val="22"/>
          <w:u w:val="single"/>
        </w:rPr>
      </w:pPr>
    </w:p>
    <w:p w14:paraId="0C7A14F5" w14:textId="77777777" w:rsidR="00C31367" w:rsidRPr="00F563C3" w:rsidRDefault="00C31367" w:rsidP="00C31367">
      <w:pPr>
        <w:autoSpaceDE w:val="0"/>
        <w:autoSpaceDN w:val="0"/>
        <w:adjustRightInd w:val="0"/>
        <w:jc w:val="both"/>
        <w:rPr>
          <w:rFonts w:ascii="Arial" w:eastAsia="Calibri" w:hAnsi="Arial" w:cs="Arial"/>
          <w:sz w:val="22"/>
          <w:szCs w:val="22"/>
        </w:rPr>
      </w:pPr>
      <w:r w:rsidRPr="00F563C3">
        <w:rPr>
          <w:rFonts w:ascii="Arial" w:hAnsi="Arial" w:cs="Arial"/>
          <w:sz w:val="22"/>
          <w:szCs w:val="22"/>
          <w:u w:val="single"/>
        </w:rPr>
        <w:t>Opatření</w:t>
      </w:r>
      <w:r w:rsidR="00785FEC">
        <w:rPr>
          <w:rFonts w:ascii="Arial" w:hAnsi="Arial" w:cs="Arial"/>
          <w:sz w:val="22"/>
          <w:szCs w:val="22"/>
          <w:u w:val="single"/>
        </w:rPr>
        <w:t xml:space="preserve"> č. </w:t>
      </w:r>
      <w:r w:rsidR="00D51C6C">
        <w:rPr>
          <w:rFonts w:ascii="Arial" w:hAnsi="Arial" w:cs="Arial"/>
          <w:sz w:val="22"/>
          <w:szCs w:val="22"/>
          <w:u w:val="single"/>
        </w:rPr>
        <w:t>4</w:t>
      </w:r>
      <w:r w:rsidRPr="00F563C3">
        <w:rPr>
          <w:rFonts w:ascii="Arial" w:hAnsi="Arial" w:cs="Arial"/>
          <w:sz w:val="22"/>
          <w:szCs w:val="22"/>
          <w:u w:val="single"/>
        </w:rPr>
        <w:t>:</w:t>
      </w:r>
    </w:p>
    <w:p w14:paraId="4282AE2E" w14:textId="77777777" w:rsidR="00C31367" w:rsidRPr="00F563C3" w:rsidRDefault="00C31367" w:rsidP="00C31367">
      <w:pPr>
        <w:pStyle w:val="Odstavecseseznamem"/>
        <w:ind w:left="0"/>
        <w:jc w:val="both"/>
        <w:rPr>
          <w:rFonts w:ascii="Arial" w:hAnsi="Arial" w:cs="Arial"/>
          <w:sz w:val="22"/>
          <w:szCs w:val="22"/>
        </w:rPr>
      </w:pPr>
      <w:r w:rsidRPr="00F563C3">
        <w:rPr>
          <w:rFonts w:ascii="Arial" w:hAnsi="Arial" w:cs="Arial"/>
          <w:sz w:val="22"/>
          <w:szCs w:val="22"/>
        </w:rPr>
        <w:t>V současné době probíhá inovace elektronických formulářů vnitřní kontrolní činnosti a</w:t>
      </w:r>
      <w:r w:rsidR="00B1543A">
        <w:rPr>
          <w:rFonts w:ascii="Arial" w:hAnsi="Arial" w:cs="Arial"/>
          <w:sz w:val="22"/>
          <w:szCs w:val="22"/>
        </w:rPr>
        <w:t> </w:t>
      </w:r>
      <w:r w:rsidRPr="00F563C3">
        <w:rPr>
          <w:rFonts w:ascii="Arial" w:hAnsi="Arial" w:cs="Arial"/>
          <w:sz w:val="22"/>
          <w:szCs w:val="22"/>
        </w:rPr>
        <w:t>testování aplikace, která bude komfortně prezentovat data z kontrol služebním funkcionářům, vlastníkům procesů a za účelem zpracování operativního hodnocení kontrolní činnosti pracovníkům SO 050.</w:t>
      </w:r>
    </w:p>
    <w:p w14:paraId="2A60F6E0" w14:textId="77777777" w:rsidR="00C95F82" w:rsidRPr="00F563C3" w:rsidRDefault="00C31367" w:rsidP="00C31367">
      <w:pPr>
        <w:autoSpaceDE w:val="0"/>
        <w:autoSpaceDN w:val="0"/>
        <w:adjustRightInd w:val="0"/>
        <w:jc w:val="both"/>
        <w:outlineLvl w:val="0"/>
        <w:rPr>
          <w:rFonts w:ascii="Arial" w:hAnsi="Arial" w:cs="Arial"/>
          <w:b/>
          <w:noProof/>
          <w:sz w:val="22"/>
          <w:szCs w:val="22"/>
        </w:rPr>
      </w:pPr>
      <w:r w:rsidRPr="00F563C3">
        <w:rPr>
          <w:rFonts w:ascii="Arial" w:hAnsi="Arial" w:cs="Arial"/>
          <w:sz w:val="22"/>
          <w:szCs w:val="22"/>
        </w:rPr>
        <w:t>Provedení vyhodnocení souboru rizik a mapy rizik a případné zařazení interního auditu se zaměřením na problematiku SPD do plánu činností útvaru na následující období.</w:t>
      </w:r>
    </w:p>
    <w:p w14:paraId="64EBB2E2" w14:textId="77777777" w:rsidR="00F563C3" w:rsidRDefault="00F563C3" w:rsidP="00F563C3">
      <w:pPr>
        <w:autoSpaceDE w:val="0"/>
        <w:autoSpaceDN w:val="0"/>
        <w:adjustRightInd w:val="0"/>
        <w:jc w:val="both"/>
        <w:outlineLvl w:val="0"/>
        <w:rPr>
          <w:rFonts w:ascii="Arial" w:hAnsi="Arial" w:cs="Arial"/>
          <w:b/>
          <w:noProof/>
          <w:sz w:val="22"/>
          <w:szCs w:val="22"/>
        </w:rPr>
      </w:pPr>
    </w:p>
    <w:p w14:paraId="413A7B31" w14:textId="77777777" w:rsidR="00DA036F" w:rsidRPr="00F563C3" w:rsidRDefault="00C31367" w:rsidP="00C126A0">
      <w:pPr>
        <w:autoSpaceDE w:val="0"/>
        <w:autoSpaceDN w:val="0"/>
        <w:adjustRightInd w:val="0"/>
        <w:jc w:val="both"/>
        <w:outlineLvl w:val="0"/>
        <w:rPr>
          <w:rFonts w:ascii="Arial" w:hAnsi="Arial" w:cs="Arial"/>
          <w:b/>
          <w:noProof/>
          <w:sz w:val="22"/>
          <w:szCs w:val="22"/>
        </w:rPr>
      </w:pPr>
      <w:r w:rsidRPr="00F563C3">
        <w:rPr>
          <w:rFonts w:ascii="Arial" w:hAnsi="Arial" w:cs="Arial"/>
          <w:noProof/>
          <w:sz w:val="22"/>
          <w:szCs w:val="22"/>
          <w:u w:val="single"/>
        </w:rPr>
        <w:t>Termín:</w:t>
      </w:r>
      <w:r w:rsidR="00F563C3">
        <w:rPr>
          <w:rFonts w:ascii="Arial" w:hAnsi="Arial" w:cs="Arial"/>
          <w:b/>
          <w:noProof/>
          <w:sz w:val="22"/>
          <w:szCs w:val="22"/>
        </w:rPr>
        <w:t xml:space="preserve"> </w:t>
      </w:r>
      <w:r w:rsidR="00F563C3">
        <w:rPr>
          <w:rFonts w:ascii="Arial" w:hAnsi="Arial" w:cs="Arial"/>
          <w:sz w:val="22"/>
          <w:szCs w:val="22"/>
        </w:rPr>
        <w:t>opatření probíhají trvale,</w:t>
      </w:r>
      <w:r w:rsidR="00C51DC2">
        <w:rPr>
          <w:rFonts w:ascii="Arial" w:hAnsi="Arial" w:cs="Arial"/>
          <w:sz w:val="22"/>
          <w:szCs w:val="22"/>
        </w:rPr>
        <w:t xml:space="preserve"> termín pro</w:t>
      </w:r>
      <w:r w:rsidR="00F563C3">
        <w:rPr>
          <w:rFonts w:ascii="Arial" w:hAnsi="Arial" w:cs="Arial"/>
          <w:sz w:val="22"/>
          <w:szCs w:val="22"/>
        </w:rPr>
        <w:t xml:space="preserve"> i</w:t>
      </w:r>
      <w:r w:rsidRPr="00F563C3">
        <w:rPr>
          <w:rFonts w:ascii="Arial" w:hAnsi="Arial" w:cs="Arial"/>
          <w:sz w:val="22"/>
          <w:szCs w:val="22"/>
        </w:rPr>
        <w:t>nterní audit: 31.</w:t>
      </w:r>
      <w:r w:rsidR="003C72FB">
        <w:rPr>
          <w:rFonts w:ascii="Arial" w:hAnsi="Arial" w:cs="Arial"/>
          <w:sz w:val="22"/>
          <w:szCs w:val="22"/>
        </w:rPr>
        <w:t xml:space="preserve"> </w:t>
      </w:r>
      <w:r w:rsidRPr="00F563C3">
        <w:rPr>
          <w:rFonts w:ascii="Arial" w:hAnsi="Arial" w:cs="Arial"/>
          <w:sz w:val="22"/>
          <w:szCs w:val="22"/>
        </w:rPr>
        <w:t>12.</w:t>
      </w:r>
      <w:r w:rsidR="003C72FB">
        <w:rPr>
          <w:rFonts w:ascii="Arial" w:hAnsi="Arial" w:cs="Arial"/>
          <w:sz w:val="22"/>
          <w:szCs w:val="22"/>
        </w:rPr>
        <w:t xml:space="preserve"> </w:t>
      </w:r>
      <w:r w:rsidRPr="00F563C3">
        <w:rPr>
          <w:rFonts w:ascii="Arial" w:hAnsi="Arial" w:cs="Arial"/>
          <w:sz w:val="22"/>
          <w:szCs w:val="22"/>
        </w:rPr>
        <w:t>2015</w:t>
      </w:r>
      <w:r w:rsidR="00F44723">
        <w:rPr>
          <w:rFonts w:ascii="Arial" w:hAnsi="Arial" w:cs="Arial"/>
          <w:sz w:val="22"/>
          <w:szCs w:val="22"/>
        </w:rPr>
        <w:t xml:space="preserve"> (Plán činnosti na následující období).</w:t>
      </w:r>
    </w:p>
    <w:p w14:paraId="7B94E0A3" w14:textId="77777777" w:rsidR="00DA036F" w:rsidRDefault="00DA036F" w:rsidP="00C126A0">
      <w:pPr>
        <w:autoSpaceDE w:val="0"/>
        <w:autoSpaceDN w:val="0"/>
        <w:adjustRightInd w:val="0"/>
        <w:jc w:val="both"/>
        <w:outlineLvl w:val="0"/>
        <w:rPr>
          <w:rFonts w:ascii="Arial" w:hAnsi="Arial" w:cs="Arial"/>
          <w:b/>
          <w:noProof/>
          <w:sz w:val="22"/>
          <w:szCs w:val="22"/>
        </w:rPr>
      </w:pPr>
    </w:p>
    <w:p w14:paraId="197AC541" w14:textId="77777777" w:rsidR="00030791" w:rsidRDefault="00030791" w:rsidP="00C31367">
      <w:pPr>
        <w:autoSpaceDE w:val="0"/>
        <w:autoSpaceDN w:val="0"/>
        <w:adjustRightInd w:val="0"/>
        <w:jc w:val="both"/>
        <w:outlineLvl w:val="0"/>
        <w:rPr>
          <w:rFonts w:ascii="Arial" w:hAnsi="Arial" w:cs="Arial"/>
          <w:b/>
          <w:bCs/>
          <w:sz w:val="22"/>
          <w:szCs w:val="22"/>
        </w:rPr>
      </w:pPr>
    </w:p>
    <w:p w14:paraId="15EE01CB" w14:textId="77777777" w:rsidR="00C31367" w:rsidRDefault="00C31367" w:rsidP="00C31367">
      <w:pPr>
        <w:autoSpaceDE w:val="0"/>
        <w:autoSpaceDN w:val="0"/>
        <w:adjustRightInd w:val="0"/>
        <w:jc w:val="both"/>
        <w:outlineLvl w:val="0"/>
        <w:rPr>
          <w:rFonts w:ascii="Arial" w:hAnsi="Arial" w:cs="Arial"/>
          <w:b/>
          <w:bCs/>
          <w:sz w:val="22"/>
          <w:szCs w:val="22"/>
        </w:rPr>
      </w:pPr>
      <w:r w:rsidRPr="00F563C3">
        <w:rPr>
          <w:rFonts w:ascii="Arial" w:hAnsi="Arial" w:cs="Arial"/>
          <w:b/>
          <w:bCs/>
          <w:sz w:val="22"/>
          <w:szCs w:val="22"/>
        </w:rPr>
        <w:t>Bod 4. Vývoj lidských, materiálních a finančních zdrojů</w:t>
      </w:r>
    </w:p>
    <w:p w14:paraId="66C77E8B" w14:textId="77777777" w:rsidR="009A74E7" w:rsidRDefault="009A74E7" w:rsidP="00F563C3">
      <w:pPr>
        <w:pStyle w:val="Default"/>
        <w:jc w:val="both"/>
        <w:rPr>
          <w:rFonts w:ascii="Arial" w:hAnsi="Arial" w:cs="Arial"/>
          <w:i/>
          <w:sz w:val="22"/>
          <w:szCs w:val="22"/>
          <w:u w:val="single"/>
        </w:rPr>
      </w:pPr>
    </w:p>
    <w:p w14:paraId="0E4E8460" w14:textId="77777777" w:rsidR="00F563C3" w:rsidRPr="00F563C3" w:rsidRDefault="00F563C3" w:rsidP="00F563C3">
      <w:pPr>
        <w:pStyle w:val="Default"/>
        <w:jc w:val="both"/>
        <w:rPr>
          <w:rFonts w:ascii="Arial" w:hAnsi="Arial" w:cs="Arial"/>
          <w:b/>
          <w:bCs/>
          <w:color w:val="auto"/>
          <w:sz w:val="22"/>
          <w:szCs w:val="22"/>
        </w:rPr>
      </w:pPr>
      <w:r w:rsidRPr="00F563C3">
        <w:rPr>
          <w:rFonts w:ascii="Arial" w:hAnsi="Arial" w:cs="Arial"/>
          <w:i/>
          <w:sz w:val="22"/>
          <w:szCs w:val="22"/>
          <w:u w:val="single"/>
        </w:rPr>
        <w:t>Zjištění NKÚ:</w:t>
      </w:r>
    </w:p>
    <w:p w14:paraId="7538FD3C" w14:textId="77777777" w:rsidR="00C31367" w:rsidRPr="00C22B85" w:rsidRDefault="00F563C3" w:rsidP="00C31367">
      <w:pPr>
        <w:autoSpaceDE w:val="0"/>
        <w:autoSpaceDN w:val="0"/>
        <w:adjustRightInd w:val="0"/>
        <w:jc w:val="both"/>
        <w:rPr>
          <w:rFonts w:ascii="Arial" w:eastAsiaTheme="minorHAnsi" w:hAnsi="Arial" w:cs="Arial"/>
          <w:i/>
          <w:sz w:val="22"/>
          <w:szCs w:val="22"/>
          <w:lang w:eastAsia="en-US"/>
        </w:rPr>
      </w:pPr>
      <w:r w:rsidRPr="00C22B85">
        <w:rPr>
          <w:rFonts w:ascii="Arial" w:eastAsiaTheme="minorHAnsi" w:hAnsi="Arial" w:cs="Arial"/>
          <w:i/>
          <w:sz w:val="22"/>
          <w:szCs w:val="22"/>
          <w:lang w:eastAsia="en-US"/>
        </w:rPr>
        <w:t>„</w:t>
      </w:r>
      <w:r w:rsidR="00C31367" w:rsidRPr="00C22B85">
        <w:rPr>
          <w:rFonts w:ascii="Arial" w:eastAsiaTheme="minorHAnsi" w:hAnsi="Arial" w:cs="Arial"/>
          <w:i/>
          <w:sz w:val="22"/>
          <w:szCs w:val="22"/>
          <w:lang w:eastAsia="en-US"/>
        </w:rPr>
        <w:t>Analýzami rizik byly již od roku 2008 identifikovány vysoce rizikové daňové subjekty, u</w:t>
      </w:r>
      <w:r w:rsidR="00B1543A" w:rsidRPr="00C22B85">
        <w:rPr>
          <w:rFonts w:ascii="Arial" w:eastAsiaTheme="minorHAnsi" w:hAnsi="Arial" w:cs="Arial"/>
          <w:i/>
          <w:sz w:val="22"/>
          <w:szCs w:val="22"/>
          <w:lang w:eastAsia="en-US"/>
        </w:rPr>
        <w:t> </w:t>
      </w:r>
      <w:r w:rsidR="00C31367" w:rsidRPr="00C22B85">
        <w:rPr>
          <w:rFonts w:ascii="Arial" w:eastAsiaTheme="minorHAnsi" w:hAnsi="Arial" w:cs="Arial"/>
          <w:i/>
          <w:sz w:val="22"/>
          <w:szCs w:val="22"/>
          <w:lang w:eastAsia="en-US"/>
        </w:rPr>
        <w:t xml:space="preserve">kterých se následně prokázalo zapojení do řetězce krátícího SPD z lihu. Tyto subjekty však s lihem v režimu podmíněného osvobození nakládaly až do roku 2013, resp. 2014, kdy jim CÚ povolení odejmuly. Přes vysokou rizikovost subjektů byly jimi realizované dopravy lihu vyhodnocovány v systému pro sledování přeprav jako nerizikové. NKÚ zjistil, že příčinou </w:t>
      </w:r>
      <w:r w:rsidR="00C31367" w:rsidRPr="00C22B85">
        <w:rPr>
          <w:rFonts w:ascii="Arial" w:eastAsiaTheme="minorHAnsi" w:hAnsi="Arial" w:cs="Arial"/>
          <w:i/>
          <w:sz w:val="22"/>
          <w:szCs w:val="22"/>
          <w:lang w:eastAsia="en-US"/>
        </w:rPr>
        <w:lastRenderedPageBreak/>
        <w:t>bylo poskytnutí analýz pouze omezenému okruhu osob. Ani tyto osoby však v době poskytnutí analýz trestnou činnost zmíněným subjektům neprokázaly.</w:t>
      </w:r>
      <w:r w:rsidRPr="00C22B85">
        <w:rPr>
          <w:rFonts w:ascii="Arial" w:eastAsiaTheme="minorHAnsi" w:hAnsi="Arial" w:cs="Arial"/>
          <w:i/>
          <w:sz w:val="22"/>
          <w:szCs w:val="22"/>
          <w:lang w:eastAsia="en-US"/>
        </w:rPr>
        <w:t>“</w:t>
      </w:r>
    </w:p>
    <w:p w14:paraId="2657E700" w14:textId="77777777" w:rsidR="00F563C3" w:rsidRDefault="00F563C3" w:rsidP="00C31367">
      <w:pPr>
        <w:autoSpaceDE w:val="0"/>
        <w:autoSpaceDN w:val="0"/>
        <w:adjustRightInd w:val="0"/>
        <w:jc w:val="both"/>
        <w:rPr>
          <w:sz w:val="23"/>
          <w:szCs w:val="23"/>
        </w:rPr>
      </w:pPr>
    </w:p>
    <w:p w14:paraId="1545BCC0" w14:textId="77777777" w:rsidR="00C31367" w:rsidRPr="00C91AC8" w:rsidRDefault="00C31367" w:rsidP="00C31367">
      <w:pPr>
        <w:autoSpaceDE w:val="0"/>
        <w:autoSpaceDN w:val="0"/>
        <w:adjustRightInd w:val="0"/>
        <w:jc w:val="both"/>
        <w:outlineLvl w:val="0"/>
        <w:rPr>
          <w:rFonts w:ascii="Arial" w:hAnsi="Arial" w:cs="Arial"/>
          <w:b/>
          <w:i/>
          <w:noProof/>
          <w:sz w:val="22"/>
          <w:szCs w:val="22"/>
        </w:rPr>
      </w:pPr>
      <w:r w:rsidRPr="00964843">
        <w:rPr>
          <w:rFonts w:ascii="Arial" w:hAnsi="Arial" w:cs="Arial"/>
          <w:bCs/>
          <w:iCs/>
          <w:sz w:val="22"/>
          <w:szCs w:val="22"/>
          <w:u w:val="single"/>
        </w:rPr>
        <w:t>Stanovisko:</w:t>
      </w:r>
    </w:p>
    <w:p w14:paraId="2F66CBBF" w14:textId="77777777" w:rsidR="00515C03" w:rsidRPr="00F563C3" w:rsidRDefault="00515C03" w:rsidP="00515C03">
      <w:pPr>
        <w:jc w:val="both"/>
        <w:rPr>
          <w:rFonts w:ascii="Arial" w:hAnsi="Arial" w:cs="Arial"/>
          <w:sz w:val="22"/>
          <w:szCs w:val="22"/>
        </w:rPr>
      </w:pPr>
      <w:r w:rsidRPr="00F563C3">
        <w:rPr>
          <w:rFonts w:ascii="Arial" w:hAnsi="Arial" w:cs="Arial"/>
          <w:sz w:val="22"/>
          <w:szCs w:val="22"/>
        </w:rPr>
        <w:t>V rámci přeprav lihu v režimu podmíněného osvobození od daně, kdy tyto přepravy jsou evidovány v systému EMCS, bylo v roce 2007 realizováno napojení systému EMCS na systém ERIAN (Elektronická riziková analýza). V návaznosti na toto propojení byly v systému ERIAN v roce 2008 vytvořeny rizikové profily s celorepublikovou působností na kontrolu dopravy lihu (KN 220710, 220720) a lihových/nemrznoucích směsí (KN 3402, 3820, 3824) v</w:t>
      </w:r>
      <w:r w:rsidR="00B1543A">
        <w:rPr>
          <w:rFonts w:ascii="Arial" w:hAnsi="Arial" w:cs="Arial"/>
          <w:sz w:val="22"/>
          <w:szCs w:val="22"/>
        </w:rPr>
        <w:t> </w:t>
      </w:r>
      <w:r w:rsidRPr="00F563C3">
        <w:rPr>
          <w:rFonts w:ascii="Arial" w:hAnsi="Arial" w:cs="Arial"/>
          <w:sz w:val="22"/>
          <w:szCs w:val="22"/>
        </w:rPr>
        <w:t>množství přesahujícím více jak 1000 l n</w:t>
      </w:r>
      <w:r w:rsidR="00937C2A">
        <w:rPr>
          <w:rFonts w:ascii="Arial" w:hAnsi="Arial" w:cs="Arial"/>
          <w:sz w:val="22"/>
          <w:szCs w:val="22"/>
        </w:rPr>
        <w:t xml:space="preserve">a tyto dopravy. V systému EMCS </w:t>
      </w:r>
      <w:r w:rsidRPr="00F563C3">
        <w:rPr>
          <w:rFonts w:ascii="Arial" w:hAnsi="Arial" w:cs="Arial"/>
          <w:sz w:val="22"/>
          <w:szCs w:val="22"/>
        </w:rPr>
        <w:t>docházelo tedy už od roku 2008 u předmětných doprav lihu k aktivacím těchto rizikových profilů, které nařizovaly celním úřadům, u kterých byla doprava ukončována, provedení kontrolních úkonů zaměřených na dopravované vybrané výrobky – líh a nemrznoucí směsi s cílem ověřit, zda dopravovaný líh odpovídal údajům uvedeným v EMCS AAD dokladech. Text nařízení ke kontrole dále ukládal celním úřadům provádět případné odběry vzorků za účelem zjištění skutečného složení dopravovaného lihu. Kontroly nařizovaly celním úřadům také ověření skutečností vztahujících se k tomu, zda byl předmětný líh a lihové směsi použity v souladu s</w:t>
      </w:r>
      <w:r w:rsidR="00B1543A">
        <w:rPr>
          <w:rFonts w:ascii="Arial" w:hAnsi="Arial" w:cs="Arial"/>
          <w:sz w:val="22"/>
          <w:szCs w:val="22"/>
        </w:rPr>
        <w:t> </w:t>
      </w:r>
      <w:r w:rsidRPr="00F563C3">
        <w:rPr>
          <w:rFonts w:ascii="Arial" w:hAnsi="Arial" w:cs="Arial"/>
          <w:sz w:val="22"/>
          <w:szCs w:val="22"/>
        </w:rPr>
        <w:t>podmínkami uvedenými v povoleních, kter</w:t>
      </w:r>
      <w:r w:rsidR="001B02E2">
        <w:rPr>
          <w:rFonts w:ascii="Arial" w:hAnsi="Arial" w:cs="Arial"/>
          <w:sz w:val="22"/>
          <w:szCs w:val="22"/>
        </w:rPr>
        <w:t>á</w:t>
      </w:r>
      <w:r w:rsidRPr="00F563C3">
        <w:rPr>
          <w:rFonts w:ascii="Arial" w:hAnsi="Arial" w:cs="Arial"/>
          <w:sz w:val="22"/>
          <w:szCs w:val="22"/>
        </w:rPr>
        <w:t xml:space="preserve"> byl</w:t>
      </w:r>
      <w:r w:rsidR="001B02E2">
        <w:rPr>
          <w:rFonts w:ascii="Arial" w:hAnsi="Arial" w:cs="Arial"/>
          <w:sz w:val="22"/>
          <w:szCs w:val="22"/>
        </w:rPr>
        <w:t>a</w:t>
      </w:r>
      <w:r w:rsidRPr="00F563C3">
        <w:rPr>
          <w:rFonts w:ascii="Arial" w:hAnsi="Arial" w:cs="Arial"/>
          <w:sz w:val="22"/>
          <w:szCs w:val="22"/>
        </w:rPr>
        <w:t xml:space="preserve"> vydán</w:t>
      </w:r>
      <w:r w:rsidR="001B02E2">
        <w:rPr>
          <w:rFonts w:ascii="Arial" w:hAnsi="Arial" w:cs="Arial"/>
          <w:sz w:val="22"/>
          <w:szCs w:val="22"/>
        </w:rPr>
        <w:t>a</w:t>
      </w:r>
      <w:r w:rsidRPr="00F563C3">
        <w:rPr>
          <w:rFonts w:ascii="Arial" w:hAnsi="Arial" w:cs="Arial"/>
          <w:sz w:val="22"/>
          <w:szCs w:val="22"/>
        </w:rPr>
        <w:t xml:space="preserve"> daňovým subjektům.</w:t>
      </w:r>
    </w:p>
    <w:p w14:paraId="15A3287E" w14:textId="77777777" w:rsidR="00515C03" w:rsidRPr="00F563C3" w:rsidRDefault="00515C03" w:rsidP="00515C03">
      <w:pPr>
        <w:jc w:val="both"/>
        <w:rPr>
          <w:rFonts w:ascii="Arial" w:hAnsi="Arial" w:cs="Arial"/>
          <w:sz w:val="22"/>
          <w:szCs w:val="22"/>
        </w:rPr>
      </w:pPr>
      <w:r w:rsidRPr="00F563C3">
        <w:rPr>
          <w:rFonts w:ascii="Arial" w:hAnsi="Arial" w:cs="Arial"/>
          <w:sz w:val="22"/>
          <w:szCs w:val="22"/>
        </w:rPr>
        <w:t>Nelegální činnost vysoce rizikových daňových subjektů spočívala především v mimobilanční výrobě a distribuci lihu a lihovin, která probíhala mimo účetní evidenci a evidenci v systému EMCS. Tuto skutečnost nebylo možno odhalit kontrolou přeprav vybraných výrobků v režimu podmíněného osvobození od daně evidovaných v systému EMCS, kdy se vždy jednalo o</w:t>
      </w:r>
      <w:r w:rsidR="00937C2A">
        <w:rPr>
          <w:rFonts w:ascii="Arial" w:hAnsi="Arial" w:cs="Arial"/>
          <w:sz w:val="22"/>
          <w:szCs w:val="22"/>
        </w:rPr>
        <w:t> </w:t>
      </w:r>
      <w:r w:rsidRPr="00F563C3">
        <w:rPr>
          <w:rFonts w:ascii="Arial" w:hAnsi="Arial" w:cs="Arial"/>
          <w:sz w:val="22"/>
          <w:szCs w:val="22"/>
        </w:rPr>
        <w:t xml:space="preserve">legální produkci. Z tohoto důvodu nebylo možno přepravy realizované uvedenými subjekty, evidované v EMCS, automaticky považovat za rizikové, neboť rizikovými byly přepravy uskutečněné mimo systém EMCS. </w:t>
      </w:r>
    </w:p>
    <w:p w14:paraId="2F5535E7" w14:textId="77777777" w:rsidR="00515C03" w:rsidRPr="00F563C3" w:rsidRDefault="00515C03" w:rsidP="00515C03">
      <w:pPr>
        <w:jc w:val="both"/>
        <w:rPr>
          <w:rFonts w:ascii="Arial" w:hAnsi="Arial" w:cs="Arial"/>
          <w:sz w:val="22"/>
          <w:szCs w:val="22"/>
        </w:rPr>
      </w:pPr>
      <w:r w:rsidRPr="00F563C3">
        <w:rPr>
          <w:rFonts w:ascii="Arial" w:hAnsi="Arial" w:cs="Arial"/>
          <w:sz w:val="22"/>
          <w:szCs w:val="22"/>
        </w:rPr>
        <w:t>Činnost útvarů Pátrání, která by vedla k prokázání trestné činnosti daňovým subjektům, hodnoceným v rámci CS ČR jako vysoce rizikové, byla významně limitována platnou legislativní úpravou, tj. zrušením trestnosti přípravy krácení daně s účinností od 1. 1. 2010.</w:t>
      </w:r>
    </w:p>
    <w:p w14:paraId="7301A75F" w14:textId="77777777" w:rsidR="00515C03" w:rsidRPr="00F563C3" w:rsidRDefault="00515C03" w:rsidP="00515C03">
      <w:pPr>
        <w:jc w:val="both"/>
        <w:rPr>
          <w:rFonts w:ascii="Arial" w:hAnsi="Arial" w:cs="Arial"/>
          <w:sz w:val="22"/>
          <w:szCs w:val="22"/>
        </w:rPr>
      </w:pPr>
      <w:r w:rsidRPr="00F563C3">
        <w:rPr>
          <w:rFonts w:ascii="Arial" w:hAnsi="Arial" w:cs="Arial"/>
          <w:sz w:val="22"/>
          <w:szCs w:val="22"/>
        </w:rPr>
        <w:t xml:space="preserve">Od roku 2013 byla </w:t>
      </w:r>
      <w:r w:rsidR="001B02E2">
        <w:rPr>
          <w:rFonts w:ascii="Arial" w:hAnsi="Arial" w:cs="Arial"/>
          <w:sz w:val="22"/>
          <w:szCs w:val="22"/>
        </w:rPr>
        <w:t xml:space="preserve">v </w:t>
      </w:r>
      <w:r w:rsidRPr="00F563C3">
        <w:rPr>
          <w:rFonts w:ascii="Arial" w:hAnsi="Arial" w:cs="Arial"/>
          <w:sz w:val="22"/>
          <w:szCs w:val="22"/>
        </w:rPr>
        <w:t>rámci Odboru 60 Analýzy a informační podpory GŘC vyvíjena a od roku 2014 zavedena aplikace EVAP – Evidence analytických produktů, jejíž užívání je upraveno Vnitřním pokynem č. 11/2014 Evidence analytických produktů. Do doby zavedení této aplikace bylo šíření analytických produktů (AP) omezeno z důvodu zabránění úniku informací protistraně, k čemuž bohužel v minulosti docházelo. V současnosti mají odborné útvary GŘC a CÚ prostřednictvím aplikace EVAP přístup ke všem analýzám rizik, u nichž byly zadavatelem nebo nadřízeným útvarem, a k základním informacím (hlavičkovým údajům) ke všem AP, o jejichž zpřístupnění mohou požádat odbor 60 Analýzy a informační podpory GŘC, oddělení Analýzy a informační podpory CÚ nebo zadavatele analýzy. Aplikace EVAP současně umožňuje nastavit upozornění na vložení nového analytického produktu formou zasílání zpráv na e-mail tak, aby měl příjemce zprávy neustále aktuální přehled o nových AP.</w:t>
      </w:r>
    </w:p>
    <w:p w14:paraId="217EDA27" w14:textId="77777777" w:rsidR="00C31367" w:rsidRPr="00F563C3" w:rsidRDefault="00515C03" w:rsidP="00515C03">
      <w:pPr>
        <w:autoSpaceDE w:val="0"/>
        <w:autoSpaceDN w:val="0"/>
        <w:adjustRightInd w:val="0"/>
        <w:jc w:val="both"/>
        <w:outlineLvl w:val="0"/>
        <w:rPr>
          <w:rFonts w:ascii="Arial" w:hAnsi="Arial" w:cs="Arial"/>
          <w:b/>
          <w:noProof/>
          <w:sz w:val="22"/>
          <w:szCs w:val="22"/>
        </w:rPr>
      </w:pPr>
      <w:r w:rsidRPr="00F563C3">
        <w:rPr>
          <w:rFonts w:ascii="Arial" w:hAnsi="Arial" w:cs="Arial"/>
          <w:sz w:val="22"/>
          <w:szCs w:val="22"/>
        </w:rPr>
        <w:t>S účinností od 1. 1. 2015 došlo na základě novely ZSPD (zákon č. 331/2014 Sb.) k významnému zpřísnění podmínek pro vydávání a držení povolení k nakládání s vybranými výrobky zejména zavedením a rozšířením podmínek spolehlivosti, daňové bezdlužnosti a</w:t>
      </w:r>
      <w:r w:rsidR="00B1543A">
        <w:rPr>
          <w:rFonts w:ascii="Arial" w:hAnsi="Arial" w:cs="Arial"/>
          <w:sz w:val="22"/>
          <w:szCs w:val="22"/>
        </w:rPr>
        <w:t> </w:t>
      </w:r>
      <w:r w:rsidRPr="00F563C3">
        <w:rPr>
          <w:rFonts w:ascii="Arial" w:hAnsi="Arial" w:cs="Arial"/>
          <w:sz w:val="22"/>
          <w:szCs w:val="22"/>
        </w:rPr>
        <w:t>ekonomické stability, které musí být splňovány po celou dobu trvání povolení.</w:t>
      </w:r>
    </w:p>
    <w:p w14:paraId="1A83E0B6" w14:textId="77777777" w:rsidR="00C159E3" w:rsidRDefault="00C159E3" w:rsidP="00C126A0">
      <w:pPr>
        <w:autoSpaceDE w:val="0"/>
        <w:autoSpaceDN w:val="0"/>
        <w:adjustRightInd w:val="0"/>
        <w:jc w:val="both"/>
        <w:outlineLvl w:val="0"/>
        <w:rPr>
          <w:rFonts w:ascii="Arial" w:hAnsi="Arial" w:cs="Arial"/>
          <w:b/>
          <w:noProof/>
          <w:sz w:val="22"/>
          <w:szCs w:val="22"/>
        </w:rPr>
      </w:pPr>
    </w:p>
    <w:p w14:paraId="50507817" w14:textId="77777777" w:rsidR="00C31367" w:rsidRDefault="00C31367" w:rsidP="00C126A0">
      <w:pPr>
        <w:autoSpaceDE w:val="0"/>
        <w:autoSpaceDN w:val="0"/>
        <w:adjustRightInd w:val="0"/>
        <w:jc w:val="both"/>
        <w:outlineLvl w:val="0"/>
        <w:rPr>
          <w:rFonts w:ascii="Arial" w:hAnsi="Arial" w:cs="Arial"/>
          <w:b/>
          <w:noProof/>
          <w:sz w:val="22"/>
          <w:szCs w:val="22"/>
        </w:rPr>
      </w:pPr>
    </w:p>
    <w:sectPr w:rsidR="00C31367" w:rsidSect="009E5F4A">
      <w:footerReference w:type="default" r:id="rId10"/>
      <w:pgSz w:w="11906" w:h="16838"/>
      <w:pgMar w:top="1417" w:right="1417" w:bottom="1417" w:left="1417" w:header="708" w:footer="708" w:gutter="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66CC6F5" w15:done="0"/>
  <w15:commentEx w15:paraId="151F386B" w15:done="0"/>
  <w15:commentEx w15:paraId="36195A94" w15:done="0"/>
  <w15:commentEx w15:paraId="5D9C5934" w15:done="0"/>
  <w15:commentEx w15:paraId="4429A8E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963879" w14:textId="77777777" w:rsidR="00262A98" w:rsidRDefault="00262A98" w:rsidP="00242386">
      <w:r>
        <w:separator/>
      </w:r>
    </w:p>
  </w:endnote>
  <w:endnote w:type="continuationSeparator" w:id="0">
    <w:p w14:paraId="606D8C01" w14:textId="77777777" w:rsidR="00262A98" w:rsidRDefault="00262A98" w:rsidP="00242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D4379C" w14:textId="77777777" w:rsidR="00242386" w:rsidRPr="00242386" w:rsidRDefault="00242386" w:rsidP="00242386">
    <w:pPr>
      <w:pStyle w:val="Podtitul"/>
      <w:rPr>
        <w:rFonts w:ascii="Arial" w:hAnsi="Arial" w:cs="Arial"/>
        <w:sz w:val="22"/>
        <w:szCs w:val="22"/>
      </w:rPr>
    </w:pPr>
    <w:r>
      <w:rPr>
        <w:rFonts w:ascii="Arial" w:hAnsi="Arial" w:cs="Arial"/>
        <w:sz w:val="22"/>
        <w:szCs w:val="22"/>
      </w:rPr>
      <w:t xml:space="preserve">Stránka </w:t>
    </w:r>
    <w:r>
      <w:rPr>
        <w:rFonts w:ascii="Arial" w:hAnsi="Arial" w:cs="Arial"/>
        <w:sz w:val="22"/>
        <w:szCs w:val="22"/>
      </w:rPr>
      <w:fldChar w:fldCharType="begin"/>
    </w:r>
    <w:r>
      <w:rPr>
        <w:rFonts w:ascii="Arial" w:hAnsi="Arial" w:cs="Arial"/>
        <w:sz w:val="22"/>
        <w:szCs w:val="22"/>
      </w:rPr>
      <w:instrText>PAGE</w:instrText>
    </w:r>
    <w:r>
      <w:rPr>
        <w:rFonts w:ascii="Arial" w:hAnsi="Arial" w:cs="Arial"/>
        <w:sz w:val="22"/>
        <w:szCs w:val="22"/>
      </w:rPr>
      <w:fldChar w:fldCharType="separate"/>
    </w:r>
    <w:r w:rsidR="005B1F65">
      <w:rPr>
        <w:rFonts w:ascii="Arial" w:hAnsi="Arial" w:cs="Arial"/>
        <w:noProof/>
        <w:sz w:val="22"/>
        <w:szCs w:val="22"/>
      </w:rPr>
      <w:t>2</w:t>
    </w:r>
    <w:r>
      <w:rPr>
        <w:rFonts w:ascii="Arial" w:hAnsi="Arial" w:cs="Arial"/>
        <w:sz w:val="22"/>
        <w:szCs w:val="22"/>
      </w:rPr>
      <w:fldChar w:fldCharType="end"/>
    </w:r>
    <w:r>
      <w:rPr>
        <w:rFonts w:ascii="Arial" w:hAnsi="Arial" w:cs="Arial"/>
        <w:sz w:val="22"/>
        <w:szCs w:val="22"/>
      </w:rPr>
      <w:t xml:space="preserve"> (celkem </w:t>
    </w:r>
    <w:r>
      <w:rPr>
        <w:rFonts w:ascii="Arial" w:hAnsi="Arial" w:cs="Arial"/>
        <w:sz w:val="22"/>
        <w:szCs w:val="22"/>
      </w:rPr>
      <w:fldChar w:fldCharType="begin"/>
    </w:r>
    <w:r>
      <w:rPr>
        <w:rFonts w:ascii="Arial" w:hAnsi="Arial" w:cs="Arial"/>
        <w:sz w:val="22"/>
        <w:szCs w:val="22"/>
      </w:rPr>
      <w:instrText>NUMPAGES</w:instrText>
    </w:r>
    <w:r>
      <w:rPr>
        <w:rFonts w:ascii="Arial" w:hAnsi="Arial" w:cs="Arial"/>
        <w:sz w:val="22"/>
        <w:szCs w:val="22"/>
      </w:rPr>
      <w:fldChar w:fldCharType="separate"/>
    </w:r>
    <w:r w:rsidR="005B1F65">
      <w:rPr>
        <w:rFonts w:ascii="Arial" w:hAnsi="Arial" w:cs="Arial"/>
        <w:noProof/>
        <w:sz w:val="22"/>
        <w:szCs w:val="22"/>
      </w:rPr>
      <w:t>18</w:t>
    </w:r>
    <w:r>
      <w:rPr>
        <w:rFonts w:ascii="Arial" w:hAnsi="Arial" w:cs="Arial"/>
        <w:sz w:val="22"/>
        <w:szCs w:val="22"/>
      </w:rPr>
      <w:fldChar w:fldCharType="end"/>
    </w:r>
    <w:r>
      <w:rPr>
        <w:rFonts w:ascii="Arial" w:hAnsi="Arial" w:cs="Arial"/>
        <w:sz w:val="22"/>
        <w:szCs w:val="22"/>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57B057" w14:textId="77777777" w:rsidR="00262A98" w:rsidRDefault="00262A98" w:rsidP="00242386">
      <w:r>
        <w:separator/>
      </w:r>
    </w:p>
  </w:footnote>
  <w:footnote w:type="continuationSeparator" w:id="0">
    <w:p w14:paraId="248A5C5F" w14:textId="77777777" w:rsidR="00262A98" w:rsidRDefault="00262A98" w:rsidP="002423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DC01D4"/>
    <w:multiLevelType w:val="hybridMultilevel"/>
    <w:tmpl w:val="1986A12C"/>
    <w:lvl w:ilvl="0" w:tplc="AD842BEA">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
    <w:nsid w:val="18FD6415"/>
    <w:multiLevelType w:val="hybridMultilevel"/>
    <w:tmpl w:val="ACB419F8"/>
    <w:lvl w:ilvl="0" w:tplc="AD842BEA">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
    <w:nsid w:val="2744091F"/>
    <w:multiLevelType w:val="hybridMultilevel"/>
    <w:tmpl w:val="4260D47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571A48F1"/>
    <w:multiLevelType w:val="hybridMultilevel"/>
    <w:tmpl w:val="C682F0A8"/>
    <w:lvl w:ilvl="0" w:tplc="5816DDA6">
      <w:start w:val="1"/>
      <w:numFmt w:val="upperLetter"/>
      <w:lvlText w:val="%1."/>
      <w:lvlJc w:val="left"/>
      <w:pPr>
        <w:ind w:left="720" w:hanging="360"/>
      </w:pPr>
      <w:rPr>
        <w:rFonts w:hint="default"/>
        <w:b/>
      </w:rPr>
    </w:lvl>
    <w:lvl w:ilvl="1" w:tplc="5E4ABD34">
      <w:start w:val="1"/>
      <w:numFmt w:val="bullet"/>
      <w:lvlText w:val=""/>
      <w:lvlJc w:val="left"/>
      <w:pPr>
        <w:tabs>
          <w:tab w:val="num" w:pos="1440"/>
        </w:tabs>
        <w:ind w:left="1440" w:hanging="360"/>
      </w:pPr>
      <w:rPr>
        <w:rFonts w:ascii="Symbol" w:hAnsi="Symbol" w:hint="default"/>
        <w:b/>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lewar Slavíková Naděžda Ing.">
    <w15:presenceInfo w15:providerId="None" w15:userId="Klewar Slavíková Naděžda 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ocumentProtection w:edit="forms"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6CC4"/>
    <w:rsid w:val="0000129B"/>
    <w:rsid w:val="00001F67"/>
    <w:rsid w:val="000022D1"/>
    <w:rsid w:val="000156AE"/>
    <w:rsid w:val="00030791"/>
    <w:rsid w:val="00033802"/>
    <w:rsid w:val="000366EB"/>
    <w:rsid w:val="00042AD1"/>
    <w:rsid w:val="00044C45"/>
    <w:rsid w:val="000543E8"/>
    <w:rsid w:val="000821F1"/>
    <w:rsid w:val="00084E69"/>
    <w:rsid w:val="000A1E24"/>
    <w:rsid w:val="000A39B6"/>
    <w:rsid w:val="000A43CF"/>
    <w:rsid w:val="000C45E5"/>
    <w:rsid w:val="000E372F"/>
    <w:rsid w:val="000F2A8D"/>
    <w:rsid w:val="000F4607"/>
    <w:rsid w:val="00102A5B"/>
    <w:rsid w:val="00113D01"/>
    <w:rsid w:val="00144703"/>
    <w:rsid w:val="00152BF0"/>
    <w:rsid w:val="00182F99"/>
    <w:rsid w:val="00185147"/>
    <w:rsid w:val="0018662C"/>
    <w:rsid w:val="001A7D51"/>
    <w:rsid w:val="001B02E2"/>
    <w:rsid w:val="001B4593"/>
    <w:rsid w:val="001C1916"/>
    <w:rsid w:val="001C6CC4"/>
    <w:rsid w:val="001E1887"/>
    <w:rsid w:val="00201196"/>
    <w:rsid w:val="00211C47"/>
    <w:rsid w:val="00231B6D"/>
    <w:rsid w:val="00234E2D"/>
    <w:rsid w:val="00235D0A"/>
    <w:rsid w:val="002404BF"/>
    <w:rsid w:val="00242386"/>
    <w:rsid w:val="00250944"/>
    <w:rsid w:val="00262A98"/>
    <w:rsid w:val="0027393D"/>
    <w:rsid w:val="002C1611"/>
    <w:rsid w:val="002D148C"/>
    <w:rsid w:val="002E0A47"/>
    <w:rsid w:val="002E0CC8"/>
    <w:rsid w:val="00301B4F"/>
    <w:rsid w:val="003168DC"/>
    <w:rsid w:val="00320F83"/>
    <w:rsid w:val="00361486"/>
    <w:rsid w:val="003734C5"/>
    <w:rsid w:val="003A05D9"/>
    <w:rsid w:val="003C172D"/>
    <w:rsid w:val="003C72FB"/>
    <w:rsid w:val="003C7937"/>
    <w:rsid w:val="003D7AC8"/>
    <w:rsid w:val="003E7B1B"/>
    <w:rsid w:val="00400E58"/>
    <w:rsid w:val="004047FF"/>
    <w:rsid w:val="0043206B"/>
    <w:rsid w:val="00443C12"/>
    <w:rsid w:val="00443DD9"/>
    <w:rsid w:val="00461C12"/>
    <w:rsid w:val="0047432F"/>
    <w:rsid w:val="0049680E"/>
    <w:rsid w:val="00497BB9"/>
    <w:rsid w:val="004B52FD"/>
    <w:rsid w:val="004D2A4B"/>
    <w:rsid w:val="004F69B7"/>
    <w:rsid w:val="00506AC5"/>
    <w:rsid w:val="00515C03"/>
    <w:rsid w:val="005314FE"/>
    <w:rsid w:val="00536B68"/>
    <w:rsid w:val="005448B7"/>
    <w:rsid w:val="00570C66"/>
    <w:rsid w:val="005741C5"/>
    <w:rsid w:val="00577E2B"/>
    <w:rsid w:val="005821F4"/>
    <w:rsid w:val="00590F4B"/>
    <w:rsid w:val="005A1C05"/>
    <w:rsid w:val="005A5CF5"/>
    <w:rsid w:val="005B1F65"/>
    <w:rsid w:val="005B3FF8"/>
    <w:rsid w:val="005C5C56"/>
    <w:rsid w:val="005E56D2"/>
    <w:rsid w:val="005F3973"/>
    <w:rsid w:val="005F7D7B"/>
    <w:rsid w:val="006053DD"/>
    <w:rsid w:val="00612B53"/>
    <w:rsid w:val="0061398A"/>
    <w:rsid w:val="006174D6"/>
    <w:rsid w:val="006302FE"/>
    <w:rsid w:val="0063515D"/>
    <w:rsid w:val="00667AC4"/>
    <w:rsid w:val="00676B9A"/>
    <w:rsid w:val="00692C2B"/>
    <w:rsid w:val="00696399"/>
    <w:rsid w:val="006C5C91"/>
    <w:rsid w:val="006E5834"/>
    <w:rsid w:val="006F2299"/>
    <w:rsid w:val="00701672"/>
    <w:rsid w:val="00726DE8"/>
    <w:rsid w:val="0073443C"/>
    <w:rsid w:val="0074729D"/>
    <w:rsid w:val="00764F51"/>
    <w:rsid w:val="007735EB"/>
    <w:rsid w:val="00785FEC"/>
    <w:rsid w:val="00793788"/>
    <w:rsid w:val="007A3479"/>
    <w:rsid w:val="007C1376"/>
    <w:rsid w:val="007C1993"/>
    <w:rsid w:val="007C7536"/>
    <w:rsid w:val="007E2FF3"/>
    <w:rsid w:val="008206D4"/>
    <w:rsid w:val="00841D43"/>
    <w:rsid w:val="00851788"/>
    <w:rsid w:val="00873C9B"/>
    <w:rsid w:val="00883998"/>
    <w:rsid w:val="008B3805"/>
    <w:rsid w:val="008D46B7"/>
    <w:rsid w:val="008E0616"/>
    <w:rsid w:val="009040F4"/>
    <w:rsid w:val="00921BD1"/>
    <w:rsid w:val="00932B9B"/>
    <w:rsid w:val="00937C2A"/>
    <w:rsid w:val="00947429"/>
    <w:rsid w:val="00952629"/>
    <w:rsid w:val="00952823"/>
    <w:rsid w:val="009556F0"/>
    <w:rsid w:val="009571ED"/>
    <w:rsid w:val="00964843"/>
    <w:rsid w:val="009805F1"/>
    <w:rsid w:val="00983CB8"/>
    <w:rsid w:val="009A18BA"/>
    <w:rsid w:val="009A393F"/>
    <w:rsid w:val="009A5662"/>
    <w:rsid w:val="009A74E7"/>
    <w:rsid w:val="009B753B"/>
    <w:rsid w:val="009D0ECC"/>
    <w:rsid w:val="009D7404"/>
    <w:rsid w:val="009D7D53"/>
    <w:rsid w:val="009E0150"/>
    <w:rsid w:val="009E5F4A"/>
    <w:rsid w:val="00A34874"/>
    <w:rsid w:val="00A366C4"/>
    <w:rsid w:val="00A50309"/>
    <w:rsid w:val="00A6740C"/>
    <w:rsid w:val="00A805BB"/>
    <w:rsid w:val="00A838FB"/>
    <w:rsid w:val="00AA2E7B"/>
    <w:rsid w:val="00AC1884"/>
    <w:rsid w:val="00AE2C4E"/>
    <w:rsid w:val="00AE620B"/>
    <w:rsid w:val="00AF2DF3"/>
    <w:rsid w:val="00B0097E"/>
    <w:rsid w:val="00B1543A"/>
    <w:rsid w:val="00B15ABE"/>
    <w:rsid w:val="00B15E02"/>
    <w:rsid w:val="00B209EB"/>
    <w:rsid w:val="00B25AA5"/>
    <w:rsid w:val="00B37443"/>
    <w:rsid w:val="00B65CB4"/>
    <w:rsid w:val="00B7496C"/>
    <w:rsid w:val="00BA3AE8"/>
    <w:rsid w:val="00BC7EED"/>
    <w:rsid w:val="00BD61CF"/>
    <w:rsid w:val="00BE3DFD"/>
    <w:rsid w:val="00C10EE6"/>
    <w:rsid w:val="00C126A0"/>
    <w:rsid w:val="00C15497"/>
    <w:rsid w:val="00C159E3"/>
    <w:rsid w:val="00C2265A"/>
    <w:rsid w:val="00C22B85"/>
    <w:rsid w:val="00C26066"/>
    <w:rsid w:val="00C3035E"/>
    <w:rsid w:val="00C31367"/>
    <w:rsid w:val="00C43C5B"/>
    <w:rsid w:val="00C45AC4"/>
    <w:rsid w:val="00C51DC2"/>
    <w:rsid w:val="00C801C5"/>
    <w:rsid w:val="00C814F5"/>
    <w:rsid w:val="00C835F3"/>
    <w:rsid w:val="00C910FF"/>
    <w:rsid w:val="00C91AC8"/>
    <w:rsid w:val="00C95F82"/>
    <w:rsid w:val="00CB6489"/>
    <w:rsid w:val="00CC78F9"/>
    <w:rsid w:val="00D07086"/>
    <w:rsid w:val="00D125FB"/>
    <w:rsid w:val="00D46838"/>
    <w:rsid w:val="00D51C6C"/>
    <w:rsid w:val="00D8296D"/>
    <w:rsid w:val="00D853B4"/>
    <w:rsid w:val="00D86678"/>
    <w:rsid w:val="00D916EE"/>
    <w:rsid w:val="00D95CAA"/>
    <w:rsid w:val="00DA036F"/>
    <w:rsid w:val="00DD0785"/>
    <w:rsid w:val="00DF065B"/>
    <w:rsid w:val="00DF36D4"/>
    <w:rsid w:val="00E07F45"/>
    <w:rsid w:val="00E13A70"/>
    <w:rsid w:val="00E208AE"/>
    <w:rsid w:val="00E254B1"/>
    <w:rsid w:val="00E331F2"/>
    <w:rsid w:val="00E4342D"/>
    <w:rsid w:val="00E44413"/>
    <w:rsid w:val="00E46E81"/>
    <w:rsid w:val="00E55D59"/>
    <w:rsid w:val="00E6498D"/>
    <w:rsid w:val="00E65205"/>
    <w:rsid w:val="00E7531B"/>
    <w:rsid w:val="00E75400"/>
    <w:rsid w:val="00E87D0A"/>
    <w:rsid w:val="00EA6CAB"/>
    <w:rsid w:val="00EC1209"/>
    <w:rsid w:val="00EC5BB4"/>
    <w:rsid w:val="00ED0388"/>
    <w:rsid w:val="00ED6782"/>
    <w:rsid w:val="00EF1863"/>
    <w:rsid w:val="00F0446D"/>
    <w:rsid w:val="00F15425"/>
    <w:rsid w:val="00F340BF"/>
    <w:rsid w:val="00F40F91"/>
    <w:rsid w:val="00F422C0"/>
    <w:rsid w:val="00F44723"/>
    <w:rsid w:val="00F501CD"/>
    <w:rsid w:val="00F563C3"/>
    <w:rsid w:val="00F67A67"/>
    <w:rsid w:val="00F74BBB"/>
    <w:rsid w:val="00F829B9"/>
    <w:rsid w:val="00F84BAD"/>
    <w:rsid w:val="00FA56F0"/>
    <w:rsid w:val="00FC7144"/>
    <w:rsid w:val="00FD37C5"/>
    <w:rsid w:val="00FE0D39"/>
    <w:rsid w:val="00FF130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FB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D95CAA"/>
    <w:pPr>
      <w:spacing w:after="0" w:line="240" w:lineRule="auto"/>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9A5662"/>
    <w:rPr>
      <w:rFonts w:ascii="Tahoma" w:hAnsi="Tahoma" w:cs="Tahoma"/>
      <w:sz w:val="16"/>
      <w:szCs w:val="16"/>
    </w:rPr>
  </w:style>
  <w:style w:type="character" w:customStyle="1" w:styleId="TextbublinyChar">
    <w:name w:val="Text bubliny Char"/>
    <w:basedOn w:val="Standardnpsmoodstavce"/>
    <w:link w:val="Textbubliny"/>
    <w:uiPriority w:val="99"/>
    <w:semiHidden/>
    <w:rsid w:val="009A5662"/>
    <w:rPr>
      <w:rFonts w:ascii="Tahoma" w:eastAsia="Times New Roman" w:hAnsi="Tahoma" w:cs="Tahoma"/>
      <w:sz w:val="16"/>
      <w:szCs w:val="16"/>
      <w:lang w:eastAsia="cs-CZ"/>
    </w:rPr>
  </w:style>
  <w:style w:type="paragraph" w:styleId="Zhlav">
    <w:name w:val="header"/>
    <w:basedOn w:val="Normln"/>
    <w:link w:val="ZhlavChar"/>
    <w:uiPriority w:val="99"/>
    <w:unhideWhenUsed/>
    <w:rsid w:val="00242386"/>
    <w:pPr>
      <w:tabs>
        <w:tab w:val="center" w:pos="4536"/>
        <w:tab w:val="right" w:pos="9072"/>
      </w:tabs>
    </w:pPr>
  </w:style>
  <w:style w:type="character" w:customStyle="1" w:styleId="ZhlavChar">
    <w:name w:val="Záhlaví Char"/>
    <w:basedOn w:val="Standardnpsmoodstavce"/>
    <w:link w:val="Zhlav"/>
    <w:uiPriority w:val="99"/>
    <w:rsid w:val="00242386"/>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242386"/>
    <w:pPr>
      <w:tabs>
        <w:tab w:val="center" w:pos="4536"/>
        <w:tab w:val="right" w:pos="9072"/>
      </w:tabs>
    </w:pPr>
  </w:style>
  <w:style w:type="character" w:customStyle="1" w:styleId="ZpatChar">
    <w:name w:val="Zápatí Char"/>
    <w:basedOn w:val="Standardnpsmoodstavce"/>
    <w:link w:val="Zpat"/>
    <w:uiPriority w:val="99"/>
    <w:rsid w:val="00242386"/>
    <w:rPr>
      <w:rFonts w:ascii="Times New Roman" w:eastAsia="Times New Roman" w:hAnsi="Times New Roman" w:cs="Times New Roman"/>
      <w:sz w:val="24"/>
      <w:szCs w:val="24"/>
      <w:lang w:eastAsia="cs-CZ"/>
    </w:rPr>
  </w:style>
  <w:style w:type="paragraph" w:styleId="Podtitul">
    <w:name w:val="Subtitle"/>
    <w:basedOn w:val="Normln"/>
    <w:next w:val="Normln"/>
    <w:link w:val="PodtitulChar"/>
    <w:uiPriority w:val="11"/>
    <w:qFormat/>
    <w:rsid w:val="00242386"/>
    <w:pPr>
      <w:spacing w:after="60"/>
      <w:jc w:val="center"/>
      <w:outlineLvl w:val="1"/>
    </w:pPr>
    <w:rPr>
      <w:rFonts w:ascii="Cambria" w:hAnsi="Cambria"/>
    </w:rPr>
  </w:style>
  <w:style w:type="character" w:customStyle="1" w:styleId="PodtitulChar">
    <w:name w:val="Podtitul Char"/>
    <w:basedOn w:val="Standardnpsmoodstavce"/>
    <w:link w:val="Podtitul"/>
    <w:uiPriority w:val="11"/>
    <w:rsid w:val="00242386"/>
    <w:rPr>
      <w:rFonts w:ascii="Cambria" w:eastAsia="Times New Roman" w:hAnsi="Cambria" w:cs="Times New Roman"/>
      <w:sz w:val="24"/>
      <w:szCs w:val="24"/>
      <w:lang w:eastAsia="cs-CZ"/>
    </w:rPr>
  </w:style>
  <w:style w:type="paragraph" w:customStyle="1" w:styleId="Popisky">
    <w:name w:val="Popisky"/>
    <w:basedOn w:val="Normln"/>
    <w:rsid w:val="00C126A0"/>
    <w:rPr>
      <w:rFonts w:ascii="Arial" w:eastAsia="Calibri" w:hAnsi="Arial" w:cs="Arial"/>
      <w:sz w:val="20"/>
      <w:szCs w:val="20"/>
    </w:rPr>
  </w:style>
  <w:style w:type="paragraph" w:customStyle="1" w:styleId="Default">
    <w:name w:val="Default"/>
    <w:rsid w:val="00C126A0"/>
    <w:pPr>
      <w:autoSpaceDE w:val="0"/>
      <w:autoSpaceDN w:val="0"/>
      <w:adjustRightInd w:val="0"/>
      <w:spacing w:after="0" w:line="240" w:lineRule="auto"/>
    </w:pPr>
    <w:rPr>
      <w:rFonts w:ascii="Calibri" w:hAnsi="Calibri" w:cs="Calibri"/>
      <w:color w:val="000000"/>
      <w:sz w:val="24"/>
      <w:szCs w:val="24"/>
    </w:rPr>
  </w:style>
  <w:style w:type="paragraph" w:styleId="Zkladntext2">
    <w:name w:val="Body Text 2"/>
    <w:basedOn w:val="Normln"/>
    <w:link w:val="Zkladntext2Char"/>
    <w:rsid w:val="00E6498D"/>
    <w:pPr>
      <w:jc w:val="center"/>
    </w:pPr>
    <w:rPr>
      <w:b/>
      <w:bCs/>
      <w:sz w:val="28"/>
      <w:szCs w:val="20"/>
    </w:rPr>
  </w:style>
  <w:style w:type="character" w:customStyle="1" w:styleId="Zkladntext2Char">
    <w:name w:val="Základní text 2 Char"/>
    <w:basedOn w:val="Standardnpsmoodstavce"/>
    <w:link w:val="Zkladntext2"/>
    <w:rsid w:val="00E6498D"/>
    <w:rPr>
      <w:rFonts w:ascii="Times New Roman" w:eastAsia="Times New Roman" w:hAnsi="Times New Roman" w:cs="Times New Roman"/>
      <w:b/>
      <w:bCs/>
      <w:sz w:val="28"/>
      <w:szCs w:val="20"/>
      <w:lang w:eastAsia="cs-CZ"/>
    </w:rPr>
  </w:style>
  <w:style w:type="paragraph" w:styleId="Normlnweb">
    <w:name w:val="Normal (Web)"/>
    <w:basedOn w:val="Normln"/>
    <w:uiPriority w:val="99"/>
    <w:semiHidden/>
    <w:unhideWhenUsed/>
    <w:rsid w:val="00D853B4"/>
    <w:pPr>
      <w:spacing w:before="100" w:beforeAutospacing="1" w:after="100" w:afterAutospacing="1"/>
    </w:pPr>
  </w:style>
  <w:style w:type="paragraph" w:styleId="Odstavecseseznamem">
    <w:name w:val="List Paragraph"/>
    <w:basedOn w:val="Normln"/>
    <w:uiPriority w:val="34"/>
    <w:qFormat/>
    <w:rsid w:val="00C95F82"/>
    <w:pPr>
      <w:ind w:left="720"/>
      <w:contextualSpacing/>
    </w:pPr>
    <w:rPr>
      <w:lang w:eastAsia="en-US"/>
    </w:rPr>
  </w:style>
  <w:style w:type="table" w:styleId="Mkatabulky">
    <w:name w:val="Table Grid"/>
    <w:basedOn w:val="Normlntabulka"/>
    <w:uiPriority w:val="59"/>
    <w:rsid w:val="00C313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basedOn w:val="Standardnpsmoodstavce"/>
    <w:uiPriority w:val="99"/>
    <w:semiHidden/>
    <w:unhideWhenUsed/>
    <w:rsid w:val="00301B4F"/>
    <w:rPr>
      <w:sz w:val="16"/>
      <w:szCs w:val="16"/>
    </w:rPr>
  </w:style>
  <w:style w:type="paragraph" w:styleId="Textkomente">
    <w:name w:val="annotation text"/>
    <w:basedOn w:val="Normln"/>
    <w:link w:val="TextkomenteChar"/>
    <w:uiPriority w:val="99"/>
    <w:semiHidden/>
    <w:unhideWhenUsed/>
    <w:rsid w:val="00301B4F"/>
    <w:rPr>
      <w:sz w:val="20"/>
      <w:szCs w:val="20"/>
    </w:rPr>
  </w:style>
  <w:style w:type="character" w:customStyle="1" w:styleId="TextkomenteChar">
    <w:name w:val="Text komentáře Char"/>
    <w:basedOn w:val="Standardnpsmoodstavce"/>
    <w:link w:val="Textkomente"/>
    <w:uiPriority w:val="99"/>
    <w:semiHidden/>
    <w:rsid w:val="00301B4F"/>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301B4F"/>
    <w:rPr>
      <w:b/>
      <w:bCs/>
    </w:rPr>
  </w:style>
  <w:style w:type="character" w:customStyle="1" w:styleId="PedmtkomenteChar">
    <w:name w:val="Předmět komentáře Char"/>
    <w:basedOn w:val="TextkomenteChar"/>
    <w:link w:val="Pedmtkomente"/>
    <w:uiPriority w:val="99"/>
    <w:semiHidden/>
    <w:rsid w:val="00301B4F"/>
    <w:rPr>
      <w:rFonts w:ascii="Times New Roman" w:eastAsia="Times New Roman" w:hAnsi="Times New Roman" w:cs="Times New Roman"/>
      <w:b/>
      <w:bCs/>
      <w:sz w:val="20"/>
      <w:szCs w:val="20"/>
      <w:lang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D95CAA"/>
    <w:pPr>
      <w:spacing w:after="0" w:line="240" w:lineRule="auto"/>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9A5662"/>
    <w:rPr>
      <w:rFonts w:ascii="Tahoma" w:hAnsi="Tahoma" w:cs="Tahoma"/>
      <w:sz w:val="16"/>
      <w:szCs w:val="16"/>
    </w:rPr>
  </w:style>
  <w:style w:type="character" w:customStyle="1" w:styleId="TextbublinyChar">
    <w:name w:val="Text bubliny Char"/>
    <w:basedOn w:val="Standardnpsmoodstavce"/>
    <w:link w:val="Textbubliny"/>
    <w:uiPriority w:val="99"/>
    <w:semiHidden/>
    <w:rsid w:val="009A5662"/>
    <w:rPr>
      <w:rFonts w:ascii="Tahoma" w:eastAsia="Times New Roman" w:hAnsi="Tahoma" w:cs="Tahoma"/>
      <w:sz w:val="16"/>
      <w:szCs w:val="16"/>
      <w:lang w:eastAsia="cs-CZ"/>
    </w:rPr>
  </w:style>
  <w:style w:type="paragraph" w:styleId="Zhlav">
    <w:name w:val="header"/>
    <w:basedOn w:val="Normln"/>
    <w:link w:val="ZhlavChar"/>
    <w:uiPriority w:val="99"/>
    <w:unhideWhenUsed/>
    <w:rsid w:val="00242386"/>
    <w:pPr>
      <w:tabs>
        <w:tab w:val="center" w:pos="4536"/>
        <w:tab w:val="right" w:pos="9072"/>
      </w:tabs>
    </w:pPr>
  </w:style>
  <w:style w:type="character" w:customStyle="1" w:styleId="ZhlavChar">
    <w:name w:val="Záhlaví Char"/>
    <w:basedOn w:val="Standardnpsmoodstavce"/>
    <w:link w:val="Zhlav"/>
    <w:uiPriority w:val="99"/>
    <w:rsid w:val="00242386"/>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242386"/>
    <w:pPr>
      <w:tabs>
        <w:tab w:val="center" w:pos="4536"/>
        <w:tab w:val="right" w:pos="9072"/>
      </w:tabs>
    </w:pPr>
  </w:style>
  <w:style w:type="character" w:customStyle="1" w:styleId="ZpatChar">
    <w:name w:val="Zápatí Char"/>
    <w:basedOn w:val="Standardnpsmoodstavce"/>
    <w:link w:val="Zpat"/>
    <w:uiPriority w:val="99"/>
    <w:rsid w:val="00242386"/>
    <w:rPr>
      <w:rFonts w:ascii="Times New Roman" w:eastAsia="Times New Roman" w:hAnsi="Times New Roman" w:cs="Times New Roman"/>
      <w:sz w:val="24"/>
      <w:szCs w:val="24"/>
      <w:lang w:eastAsia="cs-CZ"/>
    </w:rPr>
  </w:style>
  <w:style w:type="paragraph" w:styleId="Podtitul">
    <w:name w:val="Subtitle"/>
    <w:basedOn w:val="Normln"/>
    <w:next w:val="Normln"/>
    <w:link w:val="PodtitulChar"/>
    <w:uiPriority w:val="11"/>
    <w:qFormat/>
    <w:rsid w:val="00242386"/>
    <w:pPr>
      <w:spacing w:after="60"/>
      <w:jc w:val="center"/>
      <w:outlineLvl w:val="1"/>
    </w:pPr>
    <w:rPr>
      <w:rFonts w:ascii="Cambria" w:hAnsi="Cambria"/>
    </w:rPr>
  </w:style>
  <w:style w:type="character" w:customStyle="1" w:styleId="PodtitulChar">
    <w:name w:val="Podtitul Char"/>
    <w:basedOn w:val="Standardnpsmoodstavce"/>
    <w:link w:val="Podtitul"/>
    <w:uiPriority w:val="11"/>
    <w:rsid w:val="00242386"/>
    <w:rPr>
      <w:rFonts w:ascii="Cambria" w:eastAsia="Times New Roman" w:hAnsi="Cambria" w:cs="Times New Roman"/>
      <w:sz w:val="24"/>
      <w:szCs w:val="24"/>
      <w:lang w:eastAsia="cs-CZ"/>
    </w:rPr>
  </w:style>
  <w:style w:type="paragraph" w:customStyle="1" w:styleId="Popisky">
    <w:name w:val="Popisky"/>
    <w:basedOn w:val="Normln"/>
    <w:rsid w:val="00C126A0"/>
    <w:rPr>
      <w:rFonts w:ascii="Arial" w:eastAsia="Calibri" w:hAnsi="Arial" w:cs="Arial"/>
      <w:sz w:val="20"/>
      <w:szCs w:val="20"/>
    </w:rPr>
  </w:style>
  <w:style w:type="paragraph" w:customStyle="1" w:styleId="Default">
    <w:name w:val="Default"/>
    <w:rsid w:val="00C126A0"/>
    <w:pPr>
      <w:autoSpaceDE w:val="0"/>
      <w:autoSpaceDN w:val="0"/>
      <w:adjustRightInd w:val="0"/>
      <w:spacing w:after="0" w:line="240" w:lineRule="auto"/>
    </w:pPr>
    <w:rPr>
      <w:rFonts w:ascii="Calibri" w:hAnsi="Calibri" w:cs="Calibri"/>
      <w:color w:val="000000"/>
      <w:sz w:val="24"/>
      <w:szCs w:val="24"/>
    </w:rPr>
  </w:style>
  <w:style w:type="paragraph" w:styleId="Zkladntext2">
    <w:name w:val="Body Text 2"/>
    <w:basedOn w:val="Normln"/>
    <w:link w:val="Zkladntext2Char"/>
    <w:rsid w:val="00E6498D"/>
    <w:pPr>
      <w:jc w:val="center"/>
    </w:pPr>
    <w:rPr>
      <w:b/>
      <w:bCs/>
      <w:sz w:val="28"/>
      <w:szCs w:val="20"/>
    </w:rPr>
  </w:style>
  <w:style w:type="character" w:customStyle="1" w:styleId="Zkladntext2Char">
    <w:name w:val="Základní text 2 Char"/>
    <w:basedOn w:val="Standardnpsmoodstavce"/>
    <w:link w:val="Zkladntext2"/>
    <w:rsid w:val="00E6498D"/>
    <w:rPr>
      <w:rFonts w:ascii="Times New Roman" w:eastAsia="Times New Roman" w:hAnsi="Times New Roman" w:cs="Times New Roman"/>
      <w:b/>
      <w:bCs/>
      <w:sz w:val="28"/>
      <w:szCs w:val="20"/>
      <w:lang w:eastAsia="cs-CZ"/>
    </w:rPr>
  </w:style>
  <w:style w:type="paragraph" w:styleId="Normlnweb">
    <w:name w:val="Normal (Web)"/>
    <w:basedOn w:val="Normln"/>
    <w:uiPriority w:val="99"/>
    <w:semiHidden/>
    <w:unhideWhenUsed/>
    <w:rsid w:val="00D853B4"/>
    <w:pPr>
      <w:spacing w:before="100" w:beforeAutospacing="1" w:after="100" w:afterAutospacing="1"/>
    </w:pPr>
  </w:style>
  <w:style w:type="paragraph" w:styleId="Odstavecseseznamem">
    <w:name w:val="List Paragraph"/>
    <w:basedOn w:val="Normln"/>
    <w:uiPriority w:val="34"/>
    <w:qFormat/>
    <w:rsid w:val="00C95F82"/>
    <w:pPr>
      <w:ind w:left="720"/>
      <w:contextualSpacing/>
    </w:pPr>
    <w:rPr>
      <w:lang w:eastAsia="en-US"/>
    </w:rPr>
  </w:style>
  <w:style w:type="table" w:styleId="Mkatabulky">
    <w:name w:val="Table Grid"/>
    <w:basedOn w:val="Normlntabulka"/>
    <w:uiPriority w:val="59"/>
    <w:rsid w:val="00C313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basedOn w:val="Standardnpsmoodstavce"/>
    <w:uiPriority w:val="99"/>
    <w:semiHidden/>
    <w:unhideWhenUsed/>
    <w:rsid w:val="00301B4F"/>
    <w:rPr>
      <w:sz w:val="16"/>
      <w:szCs w:val="16"/>
    </w:rPr>
  </w:style>
  <w:style w:type="paragraph" w:styleId="Textkomente">
    <w:name w:val="annotation text"/>
    <w:basedOn w:val="Normln"/>
    <w:link w:val="TextkomenteChar"/>
    <w:uiPriority w:val="99"/>
    <w:semiHidden/>
    <w:unhideWhenUsed/>
    <w:rsid w:val="00301B4F"/>
    <w:rPr>
      <w:sz w:val="20"/>
      <w:szCs w:val="20"/>
    </w:rPr>
  </w:style>
  <w:style w:type="character" w:customStyle="1" w:styleId="TextkomenteChar">
    <w:name w:val="Text komentáře Char"/>
    <w:basedOn w:val="Standardnpsmoodstavce"/>
    <w:link w:val="Textkomente"/>
    <w:uiPriority w:val="99"/>
    <w:semiHidden/>
    <w:rsid w:val="00301B4F"/>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301B4F"/>
    <w:rPr>
      <w:b/>
      <w:bCs/>
    </w:rPr>
  </w:style>
  <w:style w:type="character" w:customStyle="1" w:styleId="PedmtkomenteChar">
    <w:name w:val="Předmět komentáře Char"/>
    <w:basedOn w:val="TextkomenteChar"/>
    <w:link w:val="Pedmtkomente"/>
    <w:uiPriority w:val="99"/>
    <w:semiHidden/>
    <w:rsid w:val="00301B4F"/>
    <w:rPr>
      <w:rFonts w:ascii="Times New Roman" w:eastAsia="Times New Roman" w:hAnsi="Times New Roman" w:cs="Times New Roman"/>
      <w:b/>
      <w:bCs/>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671928">
      <w:bodyDiv w:val="1"/>
      <w:marLeft w:val="0"/>
      <w:marRight w:val="0"/>
      <w:marTop w:val="0"/>
      <w:marBottom w:val="0"/>
      <w:divBdr>
        <w:top w:val="none" w:sz="0" w:space="0" w:color="auto"/>
        <w:left w:val="none" w:sz="0" w:space="0" w:color="auto"/>
        <w:bottom w:val="none" w:sz="0" w:space="0" w:color="auto"/>
        <w:right w:val="none" w:sz="0" w:space="0" w:color="auto"/>
      </w:divBdr>
    </w:div>
    <w:div w:id="120417295">
      <w:bodyDiv w:val="1"/>
      <w:marLeft w:val="0"/>
      <w:marRight w:val="0"/>
      <w:marTop w:val="0"/>
      <w:marBottom w:val="0"/>
      <w:divBdr>
        <w:top w:val="none" w:sz="0" w:space="0" w:color="auto"/>
        <w:left w:val="none" w:sz="0" w:space="0" w:color="auto"/>
        <w:bottom w:val="none" w:sz="0" w:space="0" w:color="auto"/>
        <w:right w:val="none" w:sz="0" w:space="0" w:color="auto"/>
      </w:divBdr>
    </w:div>
    <w:div w:id="252010626">
      <w:bodyDiv w:val="1"/>
      <w:marLeft w:val="0"/>
      <w:marRight w:val="0"/>
      <w:marTop w:val="0"/>
      <w:marBottom w:val="0"/>
      <w:divBdr>
        <w:top w:val="none" w:sz="0" w:space="0" w:color="auto"/>
        <w:left w:val="none" w:sz="0" w:space="0" w:color="auto"/>
        <w:bottom w:val="none" w:sz="0" w:space="0" w:color="auto"/>
        <w:right w:val="none" w:sz="0" w:space="0" w:color="auto"/>
      </w:divBdr>
    </w:div>
    <w:div w:id="741415832">
      <w:bodyDiv w:val="1"/>
      <w:marLeft w:val="0"/>
      <w:marRight w:val="0"/>
      <w:marTop w:val="0"/>
      <w:marBottom w:val="0"/>
      <w:divBdr>
        <w:top w:val="none" w:sz="0" w:space="0" w:color="auto"/>
        <w:left w:val="none" w:sz="0" w:space="0" w:color="auto"/>
        <w:bottom w:val="none" w:sz="0" w:space="0" w:color="auto"/>
        <w:right w:val="none" w:sz="0" w:space="0" w:color="auto"/>
      </w:divBdr>
    </w:div>
    <w:div w:id="750352469">
      <w:bodyDiv w:val="1"/>
      <w:marLeft w:val="0"/>
      <w:marRight w:val="0"/>
      <w:marTop w:val="0"/>
      <w:marBottom w:val="0"/>
      <w:divBdr>
        <w:top w:val="none" w:sz="0" w:space="0" w:color="auto"/>
        <w:left w:val="none" w:sz="0" w:space="0" w:color="auto"/>
        <w:bottom w:val="none" w:sz="0" w:space="0" w:color="auto"/>
        <w:right w:val="none" w:sz="0" w:space="0" w:color="auto"/>
      </w:divBdr>
    </w:div>
    <w:div w:id="789666396">
      <w:bodyDiv w:val="1"/>
      <w:marLeft w:val="0"/>
      <w:marRight w:val="0"/>
      <w:marTop w:val="0"/>
      <w:marBottom w:val="0"/>
      <w:divBdr>
        <w:top w:val="none" w:sz="0" w:space="0" w:color="auto"/>
        <w:left w:val="none" w:sz="0" w:space="0" w:color="auto"/>
        <w:bottom w:val="none" w:sz="0" w:space="0" w:color="auto"/>
        <w:right w:val="none" w:sz="0" w:space="0" w:color="auto"/>
      </w:divBdr>
    </w:div>
    <w:div w:id="886453419">
      <w:bodyDiv w:val="1"/>
      <w:marLeft w:val="0"/>
      <w:marRight w:val="0"/>
      <w:marTop w:val="0"/>
      <w:marBottom w:val="0"/>
      <w:divBdr>
        <w:top w:val="none" w:sz="0" w:space="0" w:color="auto"/>
        <w:left w:val="none" w:sz="0" w:space="0" w:color="auto"/>
        <w:bottom w:val="none" w:sz="0" w:space="0" w:color="auto"/>
        <w:right w:val="none" w:sz="0" w:space="0" w:color="auto"/>
      </w:divBdr>
    </w:div>
    <w:div w:id="1057782605">
      <w:bodyDiv w:val="1"/>
      <w:marLeft w:val="0"/>
      <w:marRight w:val="0"/>
      <w:marTop w:val="0"/>
      <w:marBottom w:val="0"/>
      <w:divBdr>
        <w:top w:val="none" w:sz="0" w:space="0" w:color="auto"/>
        <w:left w:val="none" w:sz="0" w:space="0" w:color="auto"/>
        <w:bottom w:val="none" w:sz="0" w:space="0" w:color="auto"/>
        <w:right w:val="none" w:sz="0" w:space="0" w:color="auto"/>
      </w:divBdr>
    </w:div>
    <w:div w:id="1218739668">
      <w:bodyDiv w:val="1"/>
      <w:marLeft w:val="0"/>
      <w:marRight w:val="0"/>
      <w:marTop w:val="0"/>
      <w:marBottom w:val="0"/>
      <w:divBdr>
        <w:top w:val="none" w:sz="0" w:space="0" w:color="auto"/>
        <w:left w:val="none" w:sz="0" w:space="0" w:color="auto"/>
        <w:bottom w:val="none" w:sz="0" w:space="0" w:color="auto"/>
        <w:right w:val="none" w:sz="0" w:space="0" w:color="auto"/>
      </w:divBdr>
    </w:div>
    <w:div w:id="1289895322">
      <w:bodyDiv w:val="1"/>
      <w:marLeft w:val="0"/>
      <w:marRight w:val="0"/>
      <w:marTop w:val="0"/>
      <w:marBottom w:val="0"/>
      <w:divBdr>
        <w:top w:val="none" w:sz="0" w:space="0" w:color="auto"/>
        <w:left w:val="none" w:sz="0" w:space="0" w:color="auto"/>
        <w:bottom w:val="none" w:sz="0" w:space="0" w:color="auto"/>
        <w:right w:val="none" w:sz="0" w:space="0" w:color="auto"/>
      </w:divBdr>
    </w:div>
    <w:div w:id="1355502560">
      <w:bodyDiv w:val="1"/>
      <w:marLeft w:val="0"/>
      <w:marRight w:val="0"/>
      <w:marTop w:val="0"/>
      <w:marBottom w:val="0"/>
      <w:divBdr>
        <w:top w:val="none" w:sz="0" w:space="0" w:color="auto"/>
        <w:left w:val="none" w:sz="0" w:space="0" w:color="auto"/>
        <w:bottom w:val="none" w:sz="0" w:space="0" w:color="auto"/>
        <w:right w:val="none" w:sz="0" w:space="0" w:color="auto"/>
      </w:divBdr>
    </w:div>
    <w:div w:id="1412383748">
      <w:bodyDiv w:val="1"/>
      <w:marLeft w:val="0"/>
      <w:marRight w:val="0"/>
      <w:marTop w:val="0"/>
      <w:marBottom w:val="0"/>
      <w:divBdr>
        <w:top w:val="none" w:sz="0" w:space="0" w:color="auto"/>
        <w:left w:val="none" w:sz="0" w:space="0" w:color="auto"/>
        <w:bottom w:val="none" w:sz="0" w:space="0" w:color="auto"/>
        <w:right w:val="none" w:sz="0" w:space="0" w:color="auto"/>
      </w:divBdr>
    </w:div>
    <w:div w:id="1705713623">
      <w:bodyDiv w:val="1"/>
      <w:marLeft w:val="0"/>
      <w:marRight w:val="0"/>
      <w:marTop w:val="0"/>
      <w:marBottom w:val="0"/>
      <w:divBdr>
        <w:top w:val="none" w:sz="0" w:space="0" w:color="auto"/>
        <w:left w:val="none" w:sz="0" w:space="0" w:color="auto"/>
        <w:bottom w:val="none" w:sz="0" w:space="0" w:color="auto"/>
        <w:right w:val="none" w:sz="0" w:space="0" w:color="auto"/>
      </w:divBdr>
    </w:div>
    <w:div w:id="1794834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chart" Target="charts/chart1.xml"/><Relationship Id="rId14" Type="http://schemas.microsoft.com/office/2011/relationships/people" Target="people.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Users\U026893\AppData\Local\Microsoft\Windows\Temporary%20Internet%20Files\Content.Outlook\NS9S672Q\Inkaso%20dan&#283;%20z%20lihu%20za%20roky%201997%20a&#382;%202015.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200"/>
              <a:t>Inkaso daně z lihu za roky 1998 až 2015</a:t>
            </a:r>
            <a:r>
              <a:rPr lang="cs-CZ" sz="1200"/>
              <a:t> (inkaso za 9 měsíců daných let)</a:t>
            </a:r>
            <a:endParaRPr lang="en-US" sz="1200"/>
          </a:p>
        </c:rich>
      </c:tx>
      <c:layout>
        <c:manualLayout>
          <c:xMode val="edge"/>
          <c:yMode val="edge"/>
          <c:x val="0.12184744268077603"/>
          <c:y val="2.7504011001604399E-2"/>
        </c:manualLayout>
      </c:layout>
      <c:overlay val="0"/>
      <c:spPr>
        <a:noFill/>
        <a:ln>
          <a:noFill/>
        </a:ln>
        <a:effectLst/>
      </c:spPr>
    </c:title>
    <c:autoTitleDeleted val="0"/>
    <c:plotArea>
      <c:layout>
        <c:manualLayout>
          <c:layoutTarget val="inner"/>
          <c:xMode val="edge"/>
          <c:yMode val="edge"/>
          <c:x val="0.10453971031398852"/>
          <c:y val="0.20009168003667202"/>
          <c:w val="0.85110402866308377"/>
          <c:h val="0.69356741821436885"/>
        </c:manualLayout>
      </c:layout>
      <c:scatterChart>
        <c:scatterStyle val="lineMarker"/>
        <c:varyColors val="0"/>
        <c:ser>
          <c:idx val="0"/>
          <c:order val="0"/>
          <c:tx>
            <c:strRef>
              <c:f>'Za 9 měsíců'!$B$1</c:f>
              <c:strCache>
                <c:ptCount val="1"/>
                <c:pt idx="0">
                  <c:v>mld.</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cs-CZ"/>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'Za 9 měsíců'!$A$2:$A$19</c:f>
              <c:numCache>
                <c:formatCode>General</c:formatCode>
                <c:ptCount val="18"/>
                <c:pt idx="0">
                  <c:v>1998</c:v>
                </c:pt>
                <c:pt idx="1">
                  <c:v>1999</c:v>
                </c:pt>
                <c:pt idx="2">
                  <c:v>2000</c:v>
                </c:pt>
                <c:pt idx="3">
                  <c:v>2001</c:v>
                </c:pt>
                <c:pt idx="4">
                  <c:v>2002</c:v>
                </c:pt>
                <c:pt idx="5">
                  <c:v>2003</c:v>
                </c:pt>
                <c:pt idx="6">
                  <c:v>2004</c:v>
                </c:pt>
                <c:pt idx="7">
                  <c:v>2005</c:v>
                </c:pt>
                <c:pt idx="8">
                  <c:v>2006</c:v>
                </c:pt>
                <c:pt idx="9">
                  <c:v>2007</c:v>
                </c:pt>
                <c:pt idx="10">
                  <c:v>2008</c:v>
                </c:pt>
                <c:pt idx="11">
                  <c:v>2009</c:v>
                </c:pt>
                <c:pt idx="12">
                  <c:v>2010</c:v>
                </c:pt>
                <c:pt idx="13">
                  <c:v>2011</c:v>
                </c:pt>
                <c:pt idx="14">
                  <c:v>2012</c:v>
                </c:pt>
                <c:pt idx="15">
                  <c:v>2013</c:v>
                </c:pt>
                <c:pt idx="16">
                  <c:v>2014</c:v>
                </c:pt>
                <c:pt idx="17">
                  <c:v>2015</c:v>
                </c:pt>
              </c:numCache>
            </c:numRef>
          </c:xVal>
          <c:yVal>
            <c:numRef>
              <c:f>'Za 9 měsíců'!$B$2:$B$19</c:f>
              <c:numCache>
                <c:formatCode>General</c:formatCode>
                <c:ptCount val="18"/>
                <c:pt idx="0">
                  <c:v>4.5999999999999996</c:v>
                </c:pt>
                <c:pt idx="1">
                  <c:v>4.5999999999999996</c:v>
                </c:pt>
                <c:pt idx="2">
                  <c:v>4.2</c:v>
                </c:pt>
                <c:pt idx="3">
                  <c:v>4.8</c:v>
                </c:pt>
                <c:pt idx="4">
                  <c:v>4.3</c:v>
                </c:pt>
                <c:pt idx="5">
                  <c:v>3.8</c:v>
                </c:pt>
                <c:pt idx="6">
                  <c:v>3.7</c:v>
                </c:pt>
                <c:pt idx="7">
                  <c:v>4.2</c:v>
                </c:pt>
                <c:pt idx="8">
                  <c:v>4.8</c:v>
                </c:pt>
                <c:pt idx="9">
                  <c:v>5.0999999999999996</c:v>
                </c:pt>
                <c:pt idx="10">
                  <c:v>5.2</c:v>
                </c:pt>
                <c:pt idx="11">
                  <c:v>4.9000000000000004</c:v>
                </c:pt>
                <c:pt idx="12">
                  <c:v>5</c:v>
                </c:pt>
                <c:pt idx="13">
                  <c:v>5</c:v>
                </c:pt>
                <c:pt idx="14">
                  <c:v>5</c:v>
                </c:pt>
                <c:pt idx="15">
                  <c:v>4.5999999999999996</c:v>
                </c:pt>
                <c:pt idx="16">
                  <c:v>5</c:v>
                </c:pt>
                <c:pt idx="17">
                  <c:v>5.2</c:v>
                </c:pt>
              </c:numCache>
            </c:numRef>
          </c:yVal>
          <c:smooth val="0"/>
        </c:ser>
        <c:dLbls>
          <c:dLblPos val="t"/>
          <c:showLegendKey val="0"/>
          <c:showVal val="1"/>
          <c:showCatName val="0"/>
          <c:showSerName val="0"/>
          <c:showPercent val="0"/>
          <c:showBubbleSize val="0"/>
        </c:dLbls>
        <c:axId val="34611968"/>
        <c:axId val="34613120"/>
      </c:scatterChart>
      <c:valAx>
        <c:axId val="34611968"/>
        <c:scaling>
          <c:orientation val="minMax"/>
          <c:max val="2015"/>
          <c:min val="1998"/>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cs-CZ"/>
          </a:p>
        </c:txPr>
        <c:crossAx val="34613120"/>
        <c:crosses val="autoZero"/>
        <c:crossBetween val="midCat"/>
        <c:majorUnit val="1"/>
      </c:valAx>
      <c:valAx>
        <c:axId val="34613120"/>
        <c:scaling>
          <c:orientation val="minMax"/>
          <c:min val="3.6"/>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cs-CZ"/>
                  <a:t>miliardy</a:t>
                </a:r>
                <a:r>
                  <a:rPr lang="cs-CZ" baseline="0"/>
                  <a:t> Kč</a:t>
                </a:r>
                <a:endParaRPr lang="cs-CZ"/>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cs-CZ"/>
          </a:p>
        </c:txPr>
        <c:crossAx val="34611968"/>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cs-CZ"/>
    </a:p>
  </c:tx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0.14273</cdr:x>
      <cdr:y>0.10208</cdr:y>
    </cdr:from>
    <cdr:to>
      <cdr:x>0.28</cdr:x>
      <cdr:y>0.17391</cdr:y>
    </cdr:to>
    <cdr:sp macro="" textlink="">
      <cdr:nvSpPr>
        <cdr:cNvPr id="3" name="TextovéPole 2"/>
        <cdr:cNvSpPr txBox="1"/>
      </cdr:nvSpPr>
      <cdr:spPr>
        <a:xfrm xmlns:a="http://schemas.openxmlformats.org/drawingml/2006/main">
          <a:off x="1495424" y="514350"/>
          <a:ext cx="1438275" cy="36195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cs-CZ" sz="1100" b="1"/>
            <a:t>Finanční správa</a:t>
          </a:r>
        </a:p>
      </cdr:txBody>
    </cdr:sp>
  </cdr:relSizeAnchor>
  <cdr:relSizeAnchor xmlns:cdr="http://schemas.openxmlformats.org/drawingml/2006/chartDrawing">
    <cdr:from>
      <cdr:x>0.56212</cdr:x>
      <cdr:y>0.10271</cdr:y>
    </cdr:from>
    <cdr:to>
      <cdr:x>0.69939</cdr:x>
      <cdr:y>0.17454</cdr:y>
    </cdr:to>
    <cdr:sp macro="" textlink="">
      <cdr:nvSpPr>
        <cdr:cNvPr id="4" name="TextovéPole 1"/>
        <cdr:cNvSpPr txBox="1"/>
      </cdr:nvSpPr>
      <cdr:spPr>
        <a:xfrm xmlns:a="http://schemas.openxmlformats.org/drawingml/2006/main">
          <a:off x="3238216" y="284559"/>
          <a:ext cx="790774" cy="199005"/>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cs-CZ" sz="1100" b="1"/>
            <a:t>Celní</a:t>
          </a:r>
          <a:r>
            <a:rPr lang="cs-CZ" sz="1100" b="1" baseline="0"/>
            <a:t> správa</a:t>
          </a:r>
          <a:endParaRPr lang="cs-CZ" sz="1100" b="1"/>
        </a:p>
      </cdr:txBody>
    </cdr:sp>
  </cdr:relSizeAnchor>
</c:userShape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C474A6-FA34-41FC-A411-1DC41A02F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9143</Words>
  <Characters>53944</Characters>
  <Application>Microsoft Office Word</Application>
  <DocSecurity>4</DocSecurity>
  <Lines>449</Lines>
  <Paragraphs>125</Paragraphs>
  <ScaleCrop>false</ScaleCrop>
  <HeadingPairs>
    <vt:vector size="2" baseType="variant">
      <vt:variant>
        <vt:lpstr>Název</vt:lpstr>
      </vt:variant>
      <vt:variant>
        <vt:i4>1</vt:i4>
      </vt:variant>
    </vt:vector>
  </HeadingPairs>
  <TitlesOfParts>
    <vt:vector size="1" baseType="lpstr">
      <vt:lpstr/>
    </vt:vector>
  </TitlesOfParts>
  <Company>Úřad vlády ČR</Company>
  <LinksUpToDate>false</LinksUpToDate>
  <CharactersWithSpaces>62962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Radka Bezděkovská</dc:creator>
  <cp:lastModifiedBy>Steinová Gabriela</cp:lastModifiedBy>
  <cp:revision>2</cp:revision>
  <cp:lastPrinted>2015-12-04T12:25:00Z</cp:lastPrinted>
  <dcterms:created xsi:type="dcterms:W3CDTF">2018-11-26T13:34:00Z</dcterms:created>
  <dcterms:modified xsi:type="dcterms:W3CDTF">2018-11-26T13:34:00Z</dcterms:modified>
</cp:coreProperties>
</file>